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3E499A2A" w14:textId="6E94D89D" w:rsidR="009B3C8F" w:rsidRPr="0012010A" w:rsidRDefault="23A1157D" w:rsidP="46C4AACB">
      <w:pPr>
        <w:pStyle w:val="Heading1"/>
        <w:rPr>
          <w:color w:val="auto"/>
          <w:lang w:val="en-GB"/>
        </w:rPr>
      </w:pPr>
      <w:bookmarkStart w:id="0" w:name="_Toc33745039"/>
      <w:r w:rsidRPr="23A1157D">
        <w:rPr>
          <w:color w:val="auto"/>
          <w:lang w:val="en-GB"/>
        </w:rPr>
        <w:t>Training – Setting up multiple Target Objects per Salesforce Object Module</w:t>
      </w:r>
      <w:bookmarkEnd w:id="0"/>
    </w:p>
    <w:p w14:paraId="7B7DEBA5" w14:textId="77777777" w:rsidR="00166EAF" w:rsidRPr="0012010A" w:rsidRDefault="00166EAF" w:rsidP="0067612D">
      <w:pPr>
        <w:rPr>
          <w:lang w:val="en-GB"/>
        </w:rPr>
      </w:pPr>
    </w:p>
    <w:p w14:paraId="3AFDCDB3" w14:textId="71E9F1F1" w:rsidR="00B13FD0" w:rsidRPr="0012010A" w:rsidRDefault="008B5948" w:rsidP="0067612D">
      <w:pPr>
        <w:rPr>
          <w:lang w:val="en-GB"/>
        </w:rPr>
      </w:pPr>
      <w:r w:rsidRPr="0012010A">
        <w:rPr>
          <w:lang w:val="en-GB"/>
        </w:rPr>
        <w:t xml:space="preserve">Document </w:t>
      </w:r>
      <w:r w:rsidR="002F323C">
        <w:rPr>
          <w:lang w:val="en-GB"/>
        </w:rPr>
        <w:t>Version: v1.0</w:t>
      </w:r>
    </w:p>
    <w:p w14:paraId="0EA28471" w14:textId="0686D2FE" w:rsidR="32171417" w:rsidRDefault="2C52C484" w:rsidP="32171417">
      <w:pPr>
        <w:spacing w:line="259" w:lineRule="auto"/>
        <w:rPr>
          <w:lang w:val="en-GB"/>
        </w:rPr>
      </w:pPr>
      <w:r w:rsidRPr="2C52C484">
        <w:rPr>
          <w:lang w:val="en-GB"/>
        </w:rPr>
        <w:t>Date: 28</w:t>
      </w:r>
      <w:r w:rsidRPr="2C52C484">
        <w:rPr>
          <w:vertAlign w:val="superscript"/>
          <w:lang w:val="en-GB"/>
        </w:rPr>
        <w:t>th</w:t>
      </w:r>
      <w:r w:rsidRPr="2C52C484">
        <w:rPr>
          <w:lang w:val="en-GB"/>
        </w:rPr>
        <w:t xml:space="preserve"> February 2020</w:t>
      </w: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39BF1CF9">
        <w:trPr>
          <w:trHeight w:val="1233"/>
        </w:trPr>
        <w:tc>
          <w:tcPr>
            <w:tcW w:w="9010" w:type="dxa"/>
            <w:shd w:val="clear" w:color="auto" w:fill="C0E4DF"/>
          </w:tcPr>
          <w:p w14:paraId="010DCA1D" w14:textId="09D65876" w:rsidR="00A86B25" w:rsidRPr="0012010A" w:rsidRDefault="39BF1CF9" w:rsidP="7FE5C4E6">
            <w:pPr>
              <w:jc w:val="both"/>
              <w:rPr>
                <w:rFonts w:ascii="Calibri" w:hAnsi="Calibri" w:cs="Times New Roman"/>
                <w:lang w:val="en-GB"/>
              </w:rPr>
            </w:pPr>
            <w:r w:rsidRPr="39BF1CF9">
              <w:rPr>
                <w:rFonts w:ascii="Calibri" w:hAnsi="Calibri" w:cs="Times New Roman"/>
                <w:lang w:val="en-GB"/>
              </w:rPr>
              <w:t xml:space="preserve">This document will provide initial training for the setup of multiple target objects referencing the same Salesforce Object. This document does not explain the technical aspect or discuss the other functions within clearMDM. More detailed technical information can be found in the quick start guides located here </w:t>
            </w:r>
            <w:hyperlink r:id="rId8">
              <w:r w:rsidRPr="39BF1CF9">
                <w:rPr>
                  <w:rStyle w:val="Hyperlink"/>
                  <w:rFonts w:ascii="Calibri" w:hAnsi="Calibri" w:cs="Times New Roman"/>
                  <w:lang w:val="en-GB"/>
                </w:rPr>
                <w:t>clearMDM.com</w:t>
              </w:r>
            </w:hyperlink>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color w:val="000000" w:themeColor="text1"/>
          <w:lang w:val="en-GB"/>
        </w:rPr>
        <w:id w:val="1435785656"/>
        <w:docPartObj>
          <w:docPartGallery w:val="Table of Contents"/>
          <w:docPartUnique/>
        </w:docPartObj>
      </w:sdtPr>
      <w:sdtEndPr>
        <w:rPr>
          <w:b/>
          <w:noProof/>
          <w:color w:val="auto"/>
        </w:rPr>
      </w:sdtEndPr>
      <w:sdtContent>
        <w:p w14:paraId="7F36B790" w14:textId="15D811D5" w:rsidR="2C52C484" w:rsidRDefault="2C52C484" w:rsidP="2C52C484">
          <w:pPr>
            <w:rPr>
              <w:color w:val="000000" w:themeColor="text1"/>
              <w:lang w:val="en-GB"/>
            </w:rPr>
          </w:pPr>
        </w:p>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2CF6346A" w14:textId="49889A42" w:rsidR="0098034F" w:rsidRDefault="005369E9">
          <w:pPr>
            <w:pStyle w:val="TOC1"/>
            <w:tabs>
              <w:tab w:val="right" w:leader="dot" w:pos="9010"/>
            </w:tabs>
            <w:rPr>
              <w:rFonts w:eastAsiaTheme="minorEastAsia"/>
              <w:b w:val="0"/>
              <w:noProof/>
              <w:sz w:val="22"/>
              <w:szCs w:val="22"/>
              <w:lang w:eastAsia="ja-JP"/>
            </w:rPr>
          </w:pPr>
          <w:r w:rsidRPr="0012010A">
            <w:rPr>
              <w:b w:val="0"/>
              <w:color w:val="000000" w:themeColor="text1"/>
              <w:lang w:val="en-GB"/>
            </w:rPr>
            <w:fldChar w:fldCharType="begin"/>
          </w:r>
          <w:r w:rsidRPr="0012010A">
            <w:rPr>
              <w:b w:val="0"/>
              <w:color w:val="000000" w:themeColor="text1"/>
              <w:lang w:val="en-GB"/>
            </w:rPr>
            <w:instrText xml:space="preserve"> TOC \o "1-3" \h \z \u </w:instrText>
          </w:r>
          <w:r w:rsidRPr="0012010A">
            <w:rPr>
              <w:b w:val="0"/>
              <w:color w:val="000000" w:themeColor="text1"/>
              <w:lang w:val="en-GB"/>
            </w:rPr>
            <w:fldChar w:fldCharType="separate"/>
          </w:r>
          <w:hyperlink w:anchor="_Toc33745039" w:history="1">
            <w:r w:rsidR="0098034F" w:rsidRPr="00BC7103">
              <w:rPr>
                <w:rStyle w:val="Hyperlink"/>
                <w:noProof/>
                <w:lang w:val="en-GB"/>
              </w:rPr>
              <w:t>Training – Setting up multiple Target Objects per Salesforce Object Module</w:t>
            </w:r>
            <w:r w:rsidR="0098034F">
              <w:rPr>
                <w:noProof/>
                <w:webHidden/>
              </w:rPr>
              <w:tab/>
            </w:r>
            <w:r w:rsidR="0098034F">
              <w:rPr>
                <w:noProof/>
                <w:webHidden/>
              </w:rPr>
              <w:fldChar w:fldCharType="begin"/>
            </w:r>
            <w:r w:rsidR="0098034F">
              <w:rPr>
                <w:noProof/>
                <w:webHidden/>
              </w:rPr>
              <w:instrText xml:space="preserve"> PAGEREF _Toc33745039 \h </w:instrText>
            </w:r>
            <w:r w:rsidR="0098034F">
              <w:rPr>
                <w:noProof/>
                <w:webHidden/>
              </w:rPr>
            </w:r>
            <w:r w:rsidR="0098034F">
              <w:rPr>
                <w:noProof/>
                <w:webHidden/>
              </w:rPr>
              <w:fldChar w:fldCharType="separate"/>
            </w:r>
            <w:r w:rsidR="0098034F">
              <w:rPr>
                <w:noProof/>
                <w:webHidden/>
              </w:rPr>
              <w:t>1</w:t>
            </w:r>
            <w:r w:rsidR="0098034F">
              <w:rPr>
                <w:noProof/>
                <w:webHidden/>
              </w:rPr>
              <w:fldChar w:fldCharType="end"/>
            </w:r>
          </w:hyperlink>
        </w:p>
        <w:p w14:paraId="7C458872" w14:textId="3B623BDC" w:rsidR="0098034F" w:rsidRDefault="0098034F">
          <w:pPr>
            <w:pStyle w:val="TOC1"/>
            <w:tabs>
              <w:tab w:val="right" w:leader="dot" w:pos="9010"/>
            </w:tabs>
            <w:rPr>
              <w:rFonts w:eastAsiaTheme="minorEastAsia"/>
              <w:b w:val="0"/>
              <w:noProof/>
              <w:sz w:val="22"/>
              <w:szCs w:val="22"/>
              <w:lang w:eastAsia="ja-JP"/>
            </w:rPr>
          </w:pPr>
          <w:hyperlink w:anchor="_Toc33745040" w:history="1">
            <w:r w:rsidRPr="00BC7103">
              <w:rPr>
                <w:rStyle w:val="Hyperlink"/>
                <w:bCs/>
                <w:noProof/>
                <w:lang w:val="en-GB"/>
              </w:rPr>
              <w:t>Multiple Target Objects referencing the same Salesforce Object</w:t>
            </w:r>
            <w:r>
              <w:rPr>
                <w:noProof/>
                <w:webHidden/>
              </w:rPr>
              <w:tab/>
            </w:r>
            <w:r>
              <w:rPr>
                <w:noProof/>
                <w:webHidden/>
              </w:rPr>
              <w:fldChar w:fldCharType="begin"/>
            </w:r>
            <w:r>
              <w:rPr>
                <w:noProof/>
                <w:webHidden/>
              </w:rPr>
              <w:instrText xml:space="preserve"> PAGEREF _Toc33745040 \h </w:instrText>
            </w:r>
            <w:r>
              <w:rPr>
                <w:noProof/>
                <w:webHidden/>
              </w:rPr>
            </w:r>
            <w:r>
              <w:rPr>
                <w:noProof/>
                <w:webHidden/>
              </w:rPr>
              <w:fldChar w:fldCharType="separate"/>
            </w:r>
            <w:r>
              <w:rPr>
                <w:noProof/>
                <w:webHidden/>
              </w:rPr>
              <w:t>2</w:t>
            </w:r>
            <w:r>
              <w:rPr>
                <w:noProof/>
                <w:webHidden/>
              </w:rPr>
              <w:fldChar w:fldCharType="end"/>
            </w:r>
          </w:hyperlink>
        </w:p>
        <w:p w14:paraId="12906844" w14:textId="222FE3F5" w:rsidR="0098034F" w:rsidRDefault="0098034F">
          <w:pPr>
            <w:pStyle w:val="TOC2"/>
            <w:tabs>
              <w:tab w:val="right" w:leader="dot" w:pos="9010"/>
            </w:tabs>
            <w:rPr>
              <w:rFonts w:eastAsiaTheme="minorEastAsia"/>
              <w:b w:val="0"/>
              <w:noProof/>
              <w:lang w:eastAsia="ja-JP"/>
            </w:rPr>
          </w:pPr>
          <w:hyperlink w:anchor="_Toc33745041" w:history="1">
            <w:r w:rsidRPr="00BC7103">
              <w:rPr>
                <w:rStyle w:val="Hyperlink"/>
                <w:bCs/>
                <w:noProof/>
                <w:lang w:val="en-GB"/>
              </w:rPr>
              <w:t>Use Case 1 – Adding the settings within clearMDM</w:t>
            </w:r>
            <w:r>
              <w:rPr>
                <w:noProof/>
                <w:webHidden/>
              </w:rPr>
              <w:tab/>
            </w:r>
            <w:r>
              <w:rPr>
                <w:noProof/>
                <w:webHidden/>
              </w:rPr>
              <w:fldChar w:fldCharType="begin"/>
            </w:r>
            <w:r>
              <w:rPr>
                <w:noProof/>
                <w:webHidden/>
              </w:rPr>
              <w:instrText xml:space="preserve"> PAGEREF _Toc33745041 \h </w:instrText>
            </w:r>
            <w:r>
              <w:rPr>
                <w:noProof/>
                <w:webHidden/>
              </w:rPr>
            </w:r>
            <w:r>
              <w:rPr>
                <w:noProof/>
                <w:webHidden/>
              </w:rPr>
              <w:fldChar w:fldCharType="separate"/>
            </w:r>
            <w:r>
              <w:rPr>
                <w:noProof/>
                <w:webHidden/>
              </w:rPr>
              <w:t>2</w:t>
            </w:r>
            <w:r>
              <w:rPr>
                <w:noProof/>
                <w:webHidden/>
              </w:rPr>
              <w:fldChar w:fldCharType="end"/>
            </w:r>
          </w:hyperlink>
        </w:p>
        <w:p w14:paraId="48FCAD14" w14:textId="14678520" w:rsidR="0098034F" w:rsidRDefault="0098034F">
          <w:pPr>
            <w:pStyle w:val="TOC2"/>
            <w:tabs>
              <w:tab w:val="right" w:leader="dot" w:pos="9010"/>
            </w:tabs>
            <w:rPr>
              <w:rFonts w:eastAsiaTheme="minorEastAsia"/>
              <w:b w:val="0"/>
              <w:noProof/>
              <w:lang w:eastAsia="ja-JP"/>
            </w:rPr>
          </w:pPr>
          <w:hyperlink w:anchor="_Toc33745042" w:history="1">
            <w:r w:rsidRPr="00BC7103">
              <w:rPr>
                <w:rStyle w:val="Hyperlink"/>
                <w:bCs/>
                <w:noProof/>
                <w:lang w:val="en-GB"/>
              </w:rPr>
              <w:t>Use Case 2 – Setup the Data Source Settings for the Target Object</w:t>
            </w:r>
            <w:r>
              <w:rPr>
                <w:noProof/>
                <w:webHidden/>
              </w:rPr>
              <w:tab/>
            </w:r>
            <w:r>
              <w:rPr>
                <w:noProof/>
                <w:webHidden/>
              </w:rPr>
              <w:fldChar w:fldCharType="begin"/>
            </w:r>
            <w:r>
              <w:rPr>
                <w:noProof/>
                <w:webHidden/>
              </w:rPr>
              <w:instrText xml:space="preserve"> PAGEREF _Toc33745042 \h </w:instrText>
            </w:r>
            <w:r>
              <w:rPr>
                <w:noProof/>
                <w:webHidden/>
              </w:rPr>
            </w:r>
            <w:r>
              <w:rPr>
                <w:noProof/>
                <w:webHidden/>
              </w:rPr>
              <w:fldChar w:fldCharType="separate"/>
            </w:r>
            <w:r>
              <w:rPr>
                <w:noProof/>
                <w:webHidden/>
              </w:rPr>
              <w:t>4</w:t>
            </w:r>
            <w:r>
              <w:rPr>
                <w:noProof/>
                <w:webHidden/>
              </w:rPr>
              <w:fldChar w:fldCharType="end"/>
            </w:r>
          </w:hyperlink>
        </w:p>
        <w:p w14:paraId="2088B0D5" w14:textId="443B2F8A" w:rsidR="0098034F" w:rsidRDefault="0098034F">
          <w:pPr>
            <w:pStyle w:val="TOC2"/>
            <w:tabs>
              <w:tab w:val="right" w:leader="dot" w:pos="9010"/>
            </w:tabs>
            <w:rPr>
              <w:rFonts w:eastAsiaTheme="minorEastAsia"/>
              <w:b w:val="0"/>
              <w:noProof/>
              <w:lang w:eastAsia="ja-JP"/>
            </w:rPr>
          </w:pPr>
          <w:hyperlink w:anchor="_Toc33745043" w:history="1">
            <w:r w:rsidRPr="00BC7103">
              <w:rPr>
                <w:rStyle w:val="Hyperlink"/>
                <w:bCs/>
                <w:noProof/>
              </w:rPr>
              <w:t>Use Case 3 – Test the correct Blocking Key is produced for the Record Type</w:t>
            </w:r>
            <w:r>
              <w:rPr>
                <w:noProof/>
                <w:webHidden/>
              </w:rPr>
              <w:tab/>
            </w:r>
            <w:r>
              <w:rPr>
                <w:noProof/>
                <w:webHidden/>
              </w:rPr>
              <w:fldChar w:fldCharType="begin"/>
            </w:r>
            <w:r>
              <w:rPr>
                <w:noProof/>
                <w:webHidden/>
              </w:rPr>
              <w:instrText xml:space="preserve"> PAGEREF _Toc33745043 \h </w:instrText>
            </w:r>
            <w:r>
              <w:rPr>
                <w:noProof/>
                <w:webHidden/>
              </w:rPr>
            </w:r>
            <w:r>
              <w:rPr>
                <w:noProof/>
                <w:webHidden/>
              </w:rPr>
              <w:fldChar w:fldCharType="separate"/>
            </w:r>
            <w:r>
              <w:rPr>
                <w:noProof/>
                <w:webHidden/>
              </w:rPr>
              <w:t>5</w:t>
            </w:r>
            <w:r>
              <w:rPr>
                <w:noProof/>
                <w:webHidden/>
              </w:rPr>
              <w:fldChar w:fldCharType="end"/>
            </w:r>
          </w:hyperlink>
        </w:p>
        <w:p w14:paraId="7F64A342" w14:textId="36F4A9AE" w:rsidR="005369E9" w:rsidRPr="0012010A" w:rsidRDefault="005369E9" w:rsidP="005369E9">
          <w:pPr>
            <w:rPr>
              <w:lang w:val="en-GB"/>
            </w:rPr>
          </w:pPr>
          <w:r w:rsidRPr="0012010A">
            <w:rPr>
              <w:bCs/>
              <w:noProof/>
              <w:color w:val="000000" w:themeColor="text1"/>
              <w:lang w:val="en-GB"/>
            </w:rPr>
            <w:fldChar w:fldCharType="end"/>
          </w:r>
        </w:p>
      </w:sdtContent>
    </w:sdt>
    <w:p w14:paraId="52D8212C" w14:textId="77777777" w:rsidR="005369E9" w:rsidRPr="0012010A" w:rsidRDefault="005369E9" w:rsidP="005369E9">
      <w:pPr>
        <w:rPr>
          <w:rFonts w:ascii="Calibri" w:hAnsi="Calibri" w:cs="Times New Roman"/>
          <w:sz w:val="22"/>
          <w:szCs w:val="22"/>
          <w:lang w:val="en-GB"/>
        </w:rPr>
      </w:pPr>
    </w:p>
    <w:p w14:paraId="2879E8B4" w14:textId="5CFC7FF6" w:rsidR="00A86B25" w:rsidRPr="0012010A" w:rsidRDefault="00A86B25" w:rsidP="6137F3EE">
      <w:pPr>
        <w:rPr>
          <w:rFonts w:asciiTheme="majorHAnsi" w:eastAsiaTheme="majorEastAsia" w:hAnsiTheme="majorHAnsi" w:cstheme="majorBidi"/>
          <w:u w:val="single"/>
          <w:lang w:val="en-GB"/>
        </w:rPr>
      </w:pPr>
    </w:p>
    <w:p w14:paraId="28CFA7C0" w14:textId="44DA586E" w:rsidR="00B113B8" w:rsidRPr="0012010A" w:rsidRDefault="00B113B8">
      <w:pPr>
        <w:rPr>
          <w:lang w:val="en-GB"/>
        </w:rPr>
      </w:pPr>
      <w:r w:rsidRPr="0012010A">
        <w:rPr>
          <w:lang w:val="en-GB"/>
        </w:rPr>
        <w:br w:type="page"/>
      </w:r>
    </w:p>
    <w:p w14:paraId="3BF800D4" w14:textId="77777777" w:rsidR="00B113B8" w:rsidRPr="0012010A" w:rsidRDefault="00B113B8" w:rsidP="00B113B8">
      <w:pPr>
        <w:rPr>
          <w:lang w:val="en-GB"/>
        </w:rPr>
      </w:pPr>
    </w:p>
    <w:p w14:paraId="06A9BF96" w14:textId="719BD01B" w:rsidR="00EB7FA4" w:rsidRPr="00DF0336" w:rsidRDefault="2D2870C0" w:rsidP="2C52C484">
      <w:pPr>
        <w:pStyle w:val="Heading1"/>
        <w:rPr>
          <w:b/>
          <w:bCs/>
          <w:color w:val="auto"/>
          <w:sz w:val="28"/>
          <w:szCs w:val="28"/>
          <w:lang w:val="en-GB"/>
        </w:rPr>
      </w:pPr>
      <w:bookmarkStart w:id="1" w:name="_Toc33745040"/>
      <w:r w:rsidRPr="2D2870C0">
        <w:rPr>
          <w:b/>
          <w:bCs/>
          <w:color w:val="auto"/>
          <w:sz w:val="28"/>
          <w:szCs w:val="28"/>
          <w:lang w:val="en-GB"/>
        </w:rPr>
        <w:t>Multiple Target Objects referencing the same Salesforce Object</w:t>
      </w:r>
      <w:bookmarkEnd w:id="1"/>
    </w:p>
    <w:p w14:paraId="2FA98976" w14:textId="50BE2BCC" w:rsidR="2D2870C0" w:rsidRDefault="2D2870C0" w:rsidP="2D2870C0">
      <w:pPr>
        <w:rPr>
          <w:lang w:val="en-GB"/>
        </w:rPr>
      </w:pPr>
    </w:p>
    <w:p w14:paraId="0BB55016" w14:textId="025F3BDD" w:rsidR="00EB7FA4" w:rsidRPr="00DF0336" w:rsidRDefault="39BF1CF9" w:rsidP="2D2870C0">
      <w:pPr>
        <w:rPr>
          <w:b/>
          <w:bCs/>
          <w:sz w:val="28"/>
          <w:szCs w:val="28"/>
          <w:lang w:val="en-GB"/>
        </w:rPr>
      </w:pPr>
      <w:r w:rsidRPr="39BF1CF9">
        <w:rPr>
          <w:b/>
          <w:bCs/>
          <w:sz w:val="28"/>
          <w:szCs w:val="28"/>
          <w:lang w:val="en-GB"/>
        </w:rPr>
        <w:t>Introduction</w:t>
      </w:r>
    </w:p>
    <w:p w14:paraId="6D18FB17" w14:textId="324ED8CD" w:rsidR="00EB7FA4" w:rsidRDefault="00EB7FA4" w:rsidP="723C5004">
      <w:pPr>
        <w:rPr>
          <w:lang w:val="en-GB"/>
        </w:rPr>
      </w:pPr>
    </w:p>
    <w:p w14:paraId="09767583" w14:textId="68452DEF" w:rsidR="2C52C484" w:rsidRDefault="39BF1CF9" w:rsidP="2D2870C0">
      <w:pPr>
        <w:rPr>
          <w:rFonts w:ascii="Calibri" w:eastAsia="Calibri" w:hAnsi="Calibri" w:cs="Calibri"/>
          <w:lang w:val="en-GB"/>
        </w:rPr>
      </w:pPr>
      <w:r w:rsidRPr="39BF1CF9">
        <w:rPr>
          <w:lang w:val="en-GB"/>
        </w:rPr>
        <w:t>If you have a Target Object which has more than one record type, f</w:t>
      </w:r>
      <w:r w:rsidRPr="39BF1CF9">
        <w:rPr>
          <w:rFonts w:ascii="Calibri" w:eastAsia="Calibri" w:hAnsi="Calibri" w:cs="Calibri"/>
          <w:lang w:val="en-GB"/>
        </w:rPr>
        <w:t xml:space="preserve">or example, in Accounts you may have Customers and Suppliers, when creating a Master Record, you may not want to match and merge the record types together. </w:t>
      </w:r>
    </w:p>
    <w:p w14:paraId="7BB4AB45" w14:textId="530C4E5A" w:rsidR="2C52C484" w:rsidRDefault="2C52C484" w:rsidP="2D2870C0">
      <w:pPr>
        <w:rPr>
          <w:rFonts w:ascii="Calibri" w:eastAsia="Calibri" w:hAnsi="Calibri" w:cs="Calibri"/>
          <w:lang w:val="en-GB"/>
        </w:rPr>
      </w:pPr>
    </w:p>
    <w:p w14:paraId="2B65E901" w14:textId="61FAEFE0" w:rsidR="2C52C484" w:rsidRDefault="39BF1CF9" w:rsidP="2D2870C0">
      <w:pPr>
        <w:rPr>
          <w:rFonts w:ascii="Calibri" w:eastAsia="Calibri" w:hAnsi="Calibri" w:cs="Calibri"/>
          <w:lang w:val="en-GB"/>
        </w:rPr>
      </w:pPr>
      <w:r w:rsidRPr="39BF1CF9">
        <w:rPr>
          <w:rFonts w:ascii="Calibri" w:eastAsia="Calibri" w:hAnsi="Calibri" w:cs="Calibri"/>
          <w:lang w:val="en-GB"/>
        </w:rPr>
        <w:t xml:space="preserve">By setting up a separate Target Object per record type you can specify a different Blocking Key for each one so that when the jobs are run, the records will not be matched and merged as the Blocking Key will not be the same.  </w:t>
      </w:r>
    </w:p>
    <w:p w14:paraId="3F6920E4" w14:textId="58F9E2EE" w:rsidR="2C52C484" w:rsidRDefault="2C52C484" w:rsidP="2D2870C0">
      <w:pPr>
        <w:rPr>
          <w:rFonts w:ascii="Source Sans Pro" w:eastAsia="Source Sans Pro" w:hAnsi="Source Sans Pro" w:cs="Source Sans Pro"/>
          <w:lang w:val="en-GB"/>
        </w:rPr>
      </w:pPr>
    </w:p>
    <w:p w14:paraId="56A72F2F" w14:textId="233F7685" w:rsidR="2C52C484" w:rsidRDefault="39BF1CF9" w:rsidP="2D2870C0">
      <w:pPr>
        <w:rPr>
          <w:rFonts w:ascii="Calibri" w:eastAsia="Calibri" w:hAnsi="Calibri" w:cs="Calibri"/>
          <w:lang w:val="en-GB"/>
        </w:rPr>
      </w:pPr>
      <w:r w:rsidRPr="39BF1CF9">
        <w:rPr>
          <w:rFonts w:ascii="Source Sans Pro" w:eastAsia="Source Sans Pro" w:hAnsi="Source Sans Pro" w:cs="Source Sans Pro"/>
          <w:lang w:val="en-GB"/>
        </w:rPr>
        <w:t>What this also means is that you can setup Attribute Groups (merge rules) for individual record types if you do not want the same merge rules to apply, or you can apply to all record types if you wish.</w:t>
      </w:r>
    </w:p>
    <w:p w14:paraId="66F6F5ED" w14:textId="13CB5278" w:rsidR="0085536B" w:rsidRPr="00BB325E" w:rsidRDefault="0085536B" w:rsidP="2D2870C0">
      <w:pPr>
        <w:rPr>
          <w:lang w:val="en-GB"/>
        </w:rPr>
      </w:pPr>
    </w:p>
    <w:p w14:paraId="219CABA2" w14:textId="12EA73C6" w:rsidR="31798763" w:rsidRDefault="39BF1CF9" w:rsidP="2C52C484">
      <w:pPr>
        <w:rPr>
          <w:lang w:val="en-GB"/>
        </w:rPr>
      </w:pPr>
      <w:r w:rsidRPr="39BF1CF9">
        <w:rPr>
          <w:lang w:val="en-GB"/>
        </w:rPr>
        <w:t>To do this, follow the steps below:</w:t>
      </w:r>
    </w:p>
    <w:p w14:paraId="27F3F015" w14:textId="14EC6775" w:rsidR="31798763" w:rsidRDefault="31798763" w:rsidP="2C52C484">
      <w:pPr>
        <w:rPr>
          <w:lang w:val="en-GB"/>
        </w:rPr>
      </w:pPr>
    </w:p>
    <w:p w14:paraId="08AC0EA4" w14:textId="24134494" w:rsidR="2C52C484" w:rsidRDefault="39BF1CF9" w:rsidP="2C52C484">
      <w:pPr>
        <w:pStyle w:val="Heading2"/>
        <w:rPr>
          <w:b/>
          <w:bCs/>
          <w:color w:val="auto"/>
          <w:lang w:val="en-GB"/>
        </w:rPr>
      </w:pPr>
      <w:bookmarkStart w:id="2" w:name="_Toc33745041"/>
      <w:r w:rsidRPr="39BF1CF9">
        <w:rPr>
          <w:b/>
          <w:bCs/>
          <w:color w:val="auto"/>
          <w:lang w:val="en-GB"/>
        </w:rPr>
        <w:t>Use Case 1 – Adding the settings within clearMDM</w:t>
      </w:r>
      <w:bookmarkEnd w:id="2"/>
    </w:p>
    <w:p w14:paraId="1B6857E8" w14:textId="4208621F" w:rsidR="2C52C484" w:rsidRDefault="2C52C484" w:rsidP="2C52C484">
      <w:pPr>
        <w:rPr>
          <w:b/>
          <w:bCs/>
          <w:lang w:val="en-GB"/>
        </w:rPr>
      </w:pPr>
    </w:p>
    <w:p w14:paraId="590D3E6F" w14:textId="235445C2" w:rsidR="2C52C484" w:rsidRDefault="39BF1CF9" w:rsidP="2C52C484">
      <w:pPr>
        <w:rPr>
          <w:lang w:val="en-GB"/>
        </w:rPr>
      </w:pPr>
      <w:r w:rsidRPr="39BF1CF9">
        <w:rPr>
          <w:lang w:val="en-GB"/>
        </w:rPr>
        <w:t>This example is based upon SObject Type Accounts having a specific record type of Supplier.</w:t>
      </w:r>
    </w:p>
    <w:p w14:paraId="084F3136" w14:textId="6233D34E" w:rsidR="2C52C484" w:rsidRDefault="2C52C484" w:rsidP="2C52C484">
      <w:pPr>
        <w:rPr>
          <w:lang w:val="en-GB"/>
        </w:rPr>
      </w:pPr>
    </w:p>
    <w:p w14:paraId="27A35594" w14:textId="085A43B2" w:rsidR="2C52C484" w:rsidRDefault="2C52C484" w:rsidP="2C52C484">
      <w:pPr>
        <w:rPr>
          <w:lang w:val="en-GB"/>
        </w:rPr>
      </w:pPr>
    </w:p>
    <w:p w14:paraId="75D08250" w14:textId="1CACD931" w:rsidR="2C52C484" w:rsidRDefault="39BF1CF9" w:rsidP="39BF1CF9">
      <w:pPr>
        <w:pStyle w:val="ListParagraph"/>
        <w:numPr>
          <w:ilvl w:val="0"/>
          <w:numId w:val="3"/>
        </w:numPr>
        <w:rPr>
          <w:rFonts w:eastAsiaTheme="minorEastAsia"/>
          <w:lang w:val="en-GB"/>
        </w:rPr>
      </w:pPr>
      <w:r w:rsidRPr="39BF1CF9">
        <w:rPr>
          <w:lang w:val="en-GB"/>
        </w:rPr>
        <w:t xml:space="preserve">Navigate to Settings within clearMDM. </w:t>
      </w:r>
    </w:p>
    <w:p w14:paraId="074736E6" w14:textId="44C4A834" w:rsidR="2C52C484" w:rsidRDefault="39BF1CF9" w:rsidP="2C52C484">
      <w:pPr>
        <w:pStyle w:val="ListParagraph"/>
        <w:numPr>
          <w:ilvl w:val="0"/>
          <w:numId w:val="3"/>
        </w:numPr>
        <w:rPr>
          <w:lang w:val="en-GB"/>
        </w:rPr>
      </w:pPr>
      <w:r w:rsidRPr="39BF1CF9">
        <w:rPr>
          <w:lang w:val="en-GB"/>
        </w:rPr>
        <w:t xml:space="preserve">Click on Add. </w:t>
      </w:r>
    </w:p>
    <w:p w14:paraId="66916EF4" w14:textId="65A0E5FA" w:rsidR="2C52C484" w:rsidRDefault="39BF1CF9" w:rsidP="2C52C484">
      <w:pPr>
        <w:pStyle w:val="ListParagraph"/>
        <w:numPr>
          <w:ilvl w:val="0"/>
          <w:numId w:val="3"/>
        </w:numPr>
        <w:rPr>
          <w:lang w:val="en-GB"/>
        </w:rPr>
      </w:pPr>
      <w:r w:rsidRPr="39BF1CF9">
        <w:rPr>
          <w:lang w:val="en-GB"/>
        </w:rPr>
        <w:t>Enter a name for the Target Object – in this example Supplier RT.</w:t>
      </w:r>
    </w:p>
    <w:p w14:paraId="04BECDDE" w14:textId="074E0577" w:rsidR="2C52C484" w:rsidRDefault="39BF1CF9" w:rsidP="2C52C484">
      <w:pPr>
        <w:pStyle w:val="ListParagraph"/>
        <w:numPr>
          <w:ilvl w:val="0"/>
          <w:numId w:val="3"/>
        </w:numPr>
        <w:rPr>
          <w:lang w:val="en-GB"/>
        </w:rPr>
      </w:pPr>
      <w:r w:rsidRPr="39BF1CF9">
        <w:rPr>
          <w:lang w:val="en-GB"/>
        </w:rPr>
        <w:t xml:space="preserve">Select the SObject Type – Accounts. </w:t>
      </w:r>
    </w:p>
    <w:p w14:paraId="3647747C" w14:textId="79B21CBE" w:rsidR="2C52C484" w:rsidRDefault="39BF1CF9" w:rsidP="2C52C484">
      <w:pPr>
        <w:pStyle w:val="ListParagraph"/>
        <w:numPr>
          <w:ilvl w:val="0"/>
          <w:numId w:val="3"/>
        </w:numPr>
        <w:rPr>
          <w:lang w:val="en-GB"/>
        </w:rPr>
      </w:pPr>
      <w:r w:rsidRPr="39BF1CF9">
        <w:rPr>
          <w:lang w:val="en-GB"/>
        </w:rPr>
        <w:t>At this point, the Record Type field will be enabled if you have more than one record type active for this SObject.</w:t>
      </w:r>
    </w:p>
    <w:p w14:paraId="41F56BEE" w14:textId="5D34955E" w:rsidR="2C52C484" w:rsidRDefault="39BF1CF9" w:rsidP="2C52C484">
      <w:pPr>
        <w:pStyle w:val="ListParagraph"/>
        <w:numPr>
          <w:ilvl w:val="0"/>
          <w:numId w:val="3"/>
        </w:numPr>
        <w:rPr>
          <w:lang w:val="en-GB"/>
        </w:rPr>
      </w:pPr>
      <w:r w:rsidRPr="39BF1CF9">
        <w:rPr>
          <w:lang w:val="en-GB"/>
        </w:rPr>
        <w:t xml:space="preserve">Click the ‘Is Active’ checkbox for Normalisation Settings. </w:t>
      </w:r>
    </w:p>
    <w:p w14:paraId="5295ED12" w14:textId="2B49009B" w:rsidR="2C52C484" w:rsidRDefault="39BF1CF9" w:rsidP="2C52C484">
      <w:pPr>
        <w:pStyle w:val="ListParagraph"/>
        <w:numPr>
          <w:ilvl w:val="0"/>
          <w:numId w:val="3"/>
        </w:numPr>
        <w:rPr>
          <w:lang w:val="en-GB"/>
        </w:rPr>
      </w:pPr>
      <w:r w:rsidRPr="39BF1CF9">
        <w:rPr>
          <w:lang w:val="en-GB"/>
        </w:rPr>
        <w:t>Complete the settings as per the requirement for the Blocking Key. In this example we are going to use the Account Name:</w:t>
      </w:r>
    </w:p>
    <w:p w14:paraId="5E3CDAB6" w14:textId="3E854758" w:rsidR="2C52C484" w:rsidRDefault="2C52C484" w:rsidP="2C52C484">
      <w:pPr>
        <w:rPr>
          <w:lang w:val="en-GB"/>
        </w:rPr>
      </w:pPr>
    </w:p>
    <w:p w14:paraId="0BEC4B82" w14:textId="1D3E9AD5" w:rsidR="2C52C484" w:rsidRDefault="2C52C484" w:rsidP="2C52C484">
      <w:r>
        <w:rPr>
          <w:noProof/>
        </w:rPr>
        <w:drawing>
          <wp:inline distT="0" distB="0" distL="0" distR="0" wp14:anchorId="611EC680" wp14:editId="3995EF09">
            <wp:extent cx="6296974" cy="1288732"/>
            <wp:effectExtent l="0" t="0" r="0" b="0"/>
            <wp:docPr id="968826105" name="Picture 214265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652830"/>
                    <pic:cNvPicPr/>
                  </pic:nvPicPr>
                  <pic:blipFill>
                    <a:blip r:embed="rId9">
                      <a:extLst>
                        <a:ext uri="{28A0092B-C50C-407E-A947-70E740481C1C}">
                          <a14:useLocalDpi xmlns:a14="http://schemas.microsoft.com/office/drawing/2010/main" val="0"/>
                        </a:ext>
                      </a:extLst>
                    </a:blip>
                    <a:stretch>
                      <a:fillRect/>
                    </a:stretch>
                  </pic:blipFill>
                  <pic:spPr>
                    <a:xfrm>
                      <a:off x="0" y="0"/>
                      <a:ext cx="6296974" cy="1288732"/>
                    </a:xfrm>
                    <a:prstGeom prst="rect">
                      <a:avLst/>
                    </a:prstGeom>
                  </pic:spPr>
                </pic:pic>
              </a:graphicData>
            </a:graphic>
          </wp:inline>
        </w:drawing>
      </w:r>
    </w:p>
    <w:p w14:paraId="1CAF1A10" w14:textId="138AA2A8" w:rsidR="2C52C484" w:rsidRDefault="2C52C484" w:rsidP="2C52C484"/>
    <w:p w14:paraId="2BAFCC26" w14:textId="165BBD8F" w:rsidR="2C52C484" w:rsidRDefault="2C52C484" w:rsidP="2C52C484"/>
    <w:p w14:paraId="38EEC120" w14:textId="3DD66D86" w:rsidR="2C52C484" w:rsidRDefault="2C52C484" w:rsidP="2C52C484"/>
    <w:p w14:paraId="1080D1D9" w14:textId="71A55B49" w:rsidR="2C52C484" w:rsidRDefault="2C52C484" w:rsidP="2C52C484"/>
    <w:p w14:paraId="2A0A8631" w14:textId="48BE1BF3" w:rsidR="2C52C484" w:rsidRDefault="2C52C484" w:rsidP="2C52C484"/>
    <w:p w14:paraId="722F743D" w14:textId="0B9C443F" w:rsidR="2C52C484" w:rsidRDefault="2C52C484" w:rsidP="2C52C484"/>
    <w:p w14:paraId="7221EEBC" w14:textId="000AA816" w:rsidR="2C52C484" w:rsidRDefault="2C52C484" w:rsidP="2C52C484"/>
    <w:p w14:paraId="4F713C10" w14:textId="22270722" w:rsidR="2C52C484" w:rsidRDefault="2C52C484" w:rsidP="2D2870C0"/>
    <w:p w14:paraId="388F48D7" w14:textId="6BE38941" w:rsidR="2C52C484" w:rsidRDefault="2C52C484" w:rsidP="2C52C484"/>
    <w:p w14:paraId="572DC6E0" w14:textId="3B101AFB" w:rsidR="2C52C484" w:rsidRDefault="2C52C484" w:rsidP="2C52C484"/>
    <w:p w14:paraId="76049FB1" w14:textId="1D506AC6" w:rsidR="2C52C484" w:rsidRDefault="39BF1CF9" w:rsidP="39BF1CF9">
      <w:pPr>
        <w:pStyle w:val="ListParagraph"/>
        <w:numPr>
          <w:ilvl w:val="0"/>
          <w:numId w:val="3"/>
        </w:numPr>
        <w:rPr>
          <w:rFonts w:eastAsiaTheme="minorEastAsia"/>
        </w:rPr>
      </w:pPr>
      <w:r>
        <w:t>Complete the remaining settings as per the required setup.</w:t>
      </w:r>
    </w:p>
    <w:p w14:paraId="4C361731" w14:textId="0DC87C67" w:rsidR="2D2870C0" w:rsidRDefault="39BF1CF9" w:rsidP="2D2870C0">
      <w:pPr>
        <w:pStyle w:val="ListParagraph"/>
        <w:numPr>
          <w:ilvl w:val="0"/>
          <w:numId w:val="3"/>
        </w:numPr>
      </w:pPr>
      <w:r>
        <w:t>Ensure the correct Record Type is selected in the Merge Settings and Conversion Settings (Default Record Type field).</w:t>
      </w:r>
    </w:p>
    <w:p w14:paraId="30DA5CAC" w14:textId="747A162E" w:rsidR="2D2870C0" w:rsidRDefault="39BF1CF9" w:rsidP="2D2870C0">
      <w:pPr>
        <w:pStyle w:val="ListParagraph"/>
        <w:numPr>
          <w:ilvl w:val="0"/>
          <w:numId w:val="3"/>
        </w:numPr>
      </w:pPr>
      <w:r>
        <w:t>Click on save.</w:t>
      </w:r>
    </w:p>
    <w:p w14:paraId="443EFDA1" w14:textId="2A6A4180" w:rsidR="2C52C484" w:rsidRDefault="2C52C484" w:rsidP="2C52C484"/>
    <w:p w14:paraId="6C26A5AC" w14:textId="7B6631B7" w:rsidR="2C52C484" w:rsidRDefault="2C52C484" w:rsidP="2C52C484"/>
    <w:p w14:paraId="0D8516D7" w14:textId="72592743" w:rsidR="2C52C484" w:rsidRDefault="2C52C484" w:rsidP="2C52C484"/>
    <w:p w14:paraId="050042CB" w14:textId="25DA0DAC" w:rsidR="2C52C484" w:rsidRDefault="2C52C484" w:rsidP="2C52C484">
      <w:r>
        <w:rPr>
          <w:noProof/>
        </w:rPr>
        <w:drawing>
          <wp:inline distT="0" distB="0" distL="0" distR="0" wp14:anchorId="78388F1F" wp14:editId="6CE1F560">
            <wp:extent cx="6296974" cy="3614738"/>
            <wp:effectExtent l="0" t="0" r="0" b="0"/>
            <wp:docPr id="337581886" name="Picture 52601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013864"/>
                    <pic:cNvPicPr/>
                  </pic:nvPicPr>
                  <pic:blipFill>
                    <a:blip r:embed="rId10">
                      <a:extLst>
                        <a:ext uri="{28A0092B-C50C-407E-A947-70E740481C1C}">
                          <a14:useLocalDpi xmlns:a14="http://schemas.microsoft.com/office/drawing/2010/main" val="0"/>
                        </a:ext>
                      </a:extLst>
                    </a:blip>
                    <a:stretch>
                      <a:fillRect/>
                    </a:stretch>
                  </pic:blipFill>
                  <pic:spPr>
                    <a:xfrm>
                      <a:off x="0" y="0"/>
                      <a:ext cx="6296974" cy="3614738"/>
                    </a:xfrm>
                    <a:prstGeom prst="rect">
                      <a:avLst/>
                    </a:prstGeom>
                  </pic:spPr>
                </pic:pic>
              </a:graphicData>
            </a:graphic>
          </wp:inline>
        </w:drawing>
      </w:r>
    </w:p>
    <w:p w14:paraId="38972252" w14:textId="3333A20F" w:rsidR="2C52C484" w:rsidRDefault="2C52C484" w:rsidP="2C52C484">
      <w:pPr>
        <w:rPr>
          <w:lang w:val="en-GB"/>
        </w:rPr>
      </w:pPr>
    </w:p>
    <w:p w14:paraId="12942D3E" w14:textId="6457C597" w:rsidR="691D0B94" w:rsidRDefault="39BF1CF9" w:rsidP="691D0B94">
      <w:pPr>
        <w:rPr>
          <w:lang w:val="en-GB"/>
        </w:rPr>
      </w:pPr>
      <w:r w:rsidRPr="39BF1CF9">
        <w:rPr>
          <w:lang w:val="en-GB"/>
        </w:rPr>
        <w:t>Note: Once the Target Object is setup, you cannot edit the Name, SObject Type or Record Type fields. If any of these fields need amending you will need to delete the Target Object and re-input.</w:t>
      </w:r>
    </w:p>
    <w:p w14:paraId="21199CBD" w14:textId="23F5265C" w:rsidR="2D2870C0" w:rsidRDefault="2D2870C0" w:rsidP="2D2870C0">
      <w:pPr>
        <w:rPr>
          <w:lang w:val="en-GB"/>
        </w:rPr>
      </w:pPr>
    </w:p>
    <w:p w14:paraId="734C3AA7" w14:textId="34B5D151" w:rsidR="2D2870C0" w:rsidRDefault="2D2870C0" w:rsidP="2D2870C0">
      <w:pPr>
        <w:rPr>
          <w:lang w:val="en-GB"/>
        </w:rPr>
      </w:pPr>
    </w:p>
    <w:p w14:paraId="5209E402" w14:textId="1E9CB38A" w:rsidR="2D2870C0" w:rsidRDefault="2D2870C0" w:rsidP="2D2870C0">
      <w:pPr>
        <w:rPr>
          <w:lang w:val="en-GB"/>
        </w:rPr>
      </w:pPr>
    </w:p>
    <w:p w14:paraId="740EB04A" w14:textId="0EBDF626" w:rsidR="2D2870C0" w:rsidRDefault="2D2870C0" w:rsidP="2D2870C0">
      <w:pPr>
        <w:rPr>
          <w:lang w:val="en-GB"/>
        </w:rPr>
      </w:pPr>
    </w:p>
    <w:p w14:paraId="49D764E8" w14:textId="6988BF83" w:rsidR="2D2870C0" w:rsidRDefault="2D2870C0" w:rsidP="2D2870C0">
      <w:pPr>
        <w:rPr>
          <w:lang w:val="en-GB"/>
        </w:rPr>
      </w:pPr>
    </w:p>
    <w:p w14:paraId="6E8DDE53" w14:textId="452ADA74" w:rsidR="2D2870C0" w:rsidRDefault="2D2870C0" w:rsidP="2D2870C0">
      <w:pPr>
        <w:rPr>
          <w:lang w:val="en-GB"/>
        </w:rPr>
      </w:pPr>
    </w:p>
    <w:p w14:paraId="153FE891" w14:textId="032CD697" w:rsidR="2D2870C0" w:rsidRDefault="2D2870C0" w:rsidP="2D2870C0">
      <w:pPr>
        <w:rPr>
          <w:lang w:val="en-GB"/>
        </w:rPr>
      </w:pPr>
    </w:p>
    <w:p w14:paraId="33CE5EA3" w14:textId="1457A207" w:rsidR="2D2870C0" w:rsidRDefault="2D2870C0" w:rsidP="2D2870C0">
      <w:pPr>
        <w:rPr>
          <w:lang w:val="en-GB"/>
        </w:rPr>
      </w:pPr>
    </w:p>
    <w:p w14:paraId="2910C6FA" w14:textId="6122C959" w:rsidR="2D2870C0" w:rsidRDefault="2D2870C0" w:rsidP="2D2870C0">
      <w:pPr>
        <w:rPr>
          <w:lang w:val="en-GB"/>
        </w:rPr>
      </w:pPr>
    </w:p>
    <w:p w14:paraId="1B789040" w14:textId="1CFDE891" w:rsidR="2D2870C0" w:rsidRDefault="2D2870C0" w:rsidP="2D2870C0">
      <w:pPr>
        <w:rPr>
          <w:lang w:val="en-GB"/>
        </w:rPr>
      </w:pPr>
    </w:p>
    <w:p w14:paraId="4BF078A8" w14:textId="77C35E06" w:rsidR="2D2870C0" w:rsidRDefault="2D2870C0" w:rsidP="2D2870C0">
      <w:pPr>
        <w:rPr>
          <w:lang w:val="en-GB"/>
        </w:rPr>
      </w:pPr>
    </w:p>
    <w:p w14:paraId="1FA026A2" w14:textId="764BEBF0" w:rsidR="2D2870C0" w:rsidRDefault="2D2870C0" w:rsidP="2D2870C0">
      <w:pPr>
        <w:rPr>
          <w:lang w:val="en-GB"/>
        </w:rPr>
      </w:pPr>
    </w:p>
    <w:p w14:paraId="2285494E" w14:textId="0555E0A6" w:rsidR="2D2870C0" w:rsidRDefault="2D2870C0" w:rsidP="2D2870C0">
      <w:pPr>
        <w:rPr>
          <w:lang w:val="en-GB"/>
        </w:rPr>
      </w:pPr>
    </w:p>
    <w:p w14:paraId="40599660" w14:textId="18909CDB" w:rsidR="2D2870C0" w:rsidRDefault="2D2870C0" w:rsidP="2D2870C0">
      <w:pPr>
        <w:rPr>
          <w:lang w:val="en-GB"/>
        </w:rPr>
      </w:pPr>
    </w:p>
    <w:p w14:paraId="0CBA1731" w14:textId="54D15EAF" w:rsidR="2D2870C0" w:rsidRDefault="2D2870C0" w:rsidP="2D2870C0">
      <w:pPr>
        <w:rPr>
          <w:b/>
          <w:bCs/>
          <w:lang w:val="en-GB"/>
        </w:rPr>
      </w:pPr>
    </w:p>
    <w:p w14:paraId="76707C03" w14:textId="707CA0BF" w:rsidR="2D2870C0" w:rsidRDefault="39BF1CF9" w:rsidP="2D2870C0">
      <w:pPr>
        <w:pStyle w:val="Heading2"/>
        <w:rPr>
          <w:b/>
          <w:bCs/>
          <w:color w:val="auto"/>
          <w:lang w:val="en-GB"/>
        </w:rPr>
      </w:pPr>
      <w:bookmarkStart w:id="3" w:name="_Toc33745042"/>
      <w:r w:rsidRPr="39BF1CF9">
        <w:rPr>
          <w:b/>
          <w:bCs/>
          <w:color w:val="auto"/>
          <w:lang w:val="en-GB"/>
        </w:rPr>
        <w:t>Use Case 2 – Setup the Data Source Settings for the Target Object</w:t>
      </w:r>
      <w:bookmarkEnd w:id="3"/>
      <w:r w:rsidRPr="39BF1CF9">
        <w:rPr>
          <w:b/>
          <w:bCs/>
          <w:color w:val="auto"/>
          <w:lang w:val="en-GB"/>
        </w:rPr>
        <w:t xml:space="preserve"> </w:t>
      </w:r>
    </w:p>
    <w:p w14:paraId="5D75A8EF" w14:textId="4961B6FF" w:rsidR="2D2870C0" w:rsidRDefault="2D2870C0" w:rsidP="2D2870C0">
      <w:pPr>
        <w:rPr>
          <w:b/>
          <w:bCs/>
          <w:lang w:val="en-GB"/>
        </w:rPr>
      </w:pPr>
    </w:p>
    <w:p w14:paraId="3C0B0D69" w14:textId="04993218" w:rsidR="2D2870C0" w:rsidRDefault="39BF1CF9" w:rsidP="2D2870C0">
      <w:pPr>
        <w:rPr>
          <w:lang w:val="en-GB"/>
        </w:rPr>
      </w:pPr>
      <w:r w:rsidRPr="39BF1CF9">
        <w:rPr>
          <w:lang w:val="en-GB"/>
        </w:rPr>
        <w:t xml:space="preserve">Once the Target Object has been setup, the Data Source will need setting up for that Target SObject Type. </w:t>
      </w:r>
    </w:p>
    <w:p w14:paraId="0770A115" w14:textId="7D22A7FC" w:rsidR="2D2870C0" w:rsidRDefault="2D2870C0" w:rsidP="2D2870C0">
      <w:pPr>
        <w:rPr>
          <w:lang w:val="en-GB"/>
        </w:rPr>
      </w:pPr>
    </w:p>
    <w:p w14:paraId="38F9FB55" w14:textId="5782FD97" w:rsidR="2D2870C0" w:rsidRDefault="39BF1CF9" w:rsidP="39BF1CF9">
      <w:pPr>
        <w:pStyle w:val="ListParagraph"/>
        <w:numPr>
          <w:ilvl w:val="0"/>
          <w:numId w:val="2"/>
        </w:numPr>
        <w:rPr>
          <w:rFonts w:eastAsiaTheme="minorEastAsia"/>
          <w:lang w:val="en-GB"/>
        </w:rPr>
      </w:pPr>
      <w:r w:rsidRPr="39BF1CF9">
        <w:rPr>
          <w:lang w:val="en-GB"/>
        </w:rPr>
        <w:t xml:space="preserve">Navigate to Settings within clearMDM. </w:t>
      </w:r>
    </w:p>
    <w:p w14:paraId="2A1FA28E" w14:textId="07BE8CAB" w:rsidR="2D2870C0" w:rsidRDefault="39BF1CF9" w:rsidP="2D2870C0">
      <w:pPr>
        <w:pStyle w:val="ListParagraph"/>
        <w:numPr>
          <w:ilvl w:val="0"/>
          <w:numId w:val="2"/>
        </w:numPr>
        <w:rPr>
          <w:lang w:val="en-GB"/>
        </w:rPr>
      </w:pPr>
      <w:r w:rsidRPr="39BF1CF9">
        <w:rPr>
          <w:lang w:val="en-GB"/>
        </w:rPr>
        <w:t>Click on the Data Sources tab.</w:t>
      </w:r>
    </w:p>
    <w:p w14:paraId="08915980" w14:textId="17430BCE" w:rsidR="2D2870C0" w:rsidRDefault="39BF1CF9" w:rsidP="2D2870C0">
      <w:pPr>
        <w:pStyle w:val="ListParagraph"/>
        <w:numPr>
          <w:ilvl w:val="0"/>
          <w:numId w:val="2"/>
        </w:numPr>
        <w:rPr>
          <w:lang w:val="en-GB"/>
        </w:rPr>
      </w:pPr>
      <w:r w:rsidRPr="39BF1CF9">
        <w:rPr>
          <w:lang w:val="en-GB"/>
        </w:rPr>
        <w:t>Click on Add Data Source.</w:t>
      </w:r>
    </w:p>
    <w:p w14:paraId="36F970E9" w14:textId="11A71A54" w:rsidR="2D2870C0" w:rsidRDefault="39BF1CF9" w:rsidP="2D2870C0">
      <w:pPr>
        <w:pStyle w:val="ListParagraph"/>
        <w:numPr>
          <w:ilvl w:val="0"/>
          <w:numId w:val="2"/>
        </w:numPr>
        <w:rPr>
          <w:lang w:val="en-GB"/>
        </w:rPr>
      </w:pPr>
      <w:r w:rsidRPr="39BF1CF9">
        <w:rPr>
          <w:lang w:val="en-GB"/>
        </w:rPr>
        <w:t xml:space="preserve">Select the ‘Is Active’ checkbox. </w:t>
      </w:r>
    </w:p>
    <w:p w14:paraId="3B9A385E" w14:textId="08CC4CAA" w:rsidR="2D2870C0" w:rsidRDefault="39BF1CF9" w:rsidP="2D2870C0">
      <w:pPr>
        <w:pStyle w:val="ListParagraph"/>
        <w:numPr>
          <w:ilvl w:val="0"/>
          <w:numId w:val="2"/>
        </w:numPr>
        <w:rPr>
          <w:lang w:val="en-GB"/>
        </w:rPr>
      </w:pPr>
      <w:r w:rsidRPr="39BF1CF9">
        <w:rPr>
          <w:lang w:val="en-GB"/>
        </w:rPr>
        <w:t>Enter a name, in this example ‘Suppliers’.</w:t>
      </w:r>
    </w:p>
    <w:p w14:paraId="4EECD68B" w14:textId="387552D3" w:rsidR="2D2870C0" w:rsidRDefault="39BF1CF9" w:rsidP="2D2870C0">
      <w:pPr>
        <w:pStyle w:val="ListParagraph"/>
        <w:numPr>
          <w:ilvl w:val="0"/>
          <w:numId w:val="2"/>
        </w:numPr>
        <w:rPr>
          <w:lang w:val="en-GB"/>
        </w:rPr>
      </w:pPr>
      <w:r w:rsidRPr="39BF1CF9">
        <w:rPr>
          <w:lang w:val="en-GB"/>
        </w:rPr>
        <w:t xml:space="preserve">Click on the Target SObject Type dropdown and you will see the Target Object created in use case one. </w:t>
      </w:r>
    </w:p>
    <w:p w14:paraId="32E58411" w14:textId="39853115" w:rsidR="2D2870C0" w:rsidRDefault="39BF1CF9" w:rsidP="2D2870C0">
      <w:pPr>
        <w:pStyle w:val="ListParagraph"/>
        <w:numPr>
          <w:ilvl w:val="0"/>
          <w:numId w:val="2"/>
        </w:numPr>
        <w:rPr>
          <w:lang w:val="en-GB"/>
        </w:rPr>
      </w:pPr>
      <w:r w:rsidRPr="39BF1CF9">
        <w:rPr>
          <w:lang w:val="en-GB"/>
        </w:rPr>
        <w:t xml:space="preserve">Select this and complete the remaining settings as required. </w:t>
      </w:r>
    </w:p>
    <w:p w14:paraId="2C1593BC" w14:textId="41EBFA54" w:rsidR="2D2870C0" w:rsidRDefault="2D2870C0" w:rsidP="2D2870C0">
      <w:pPr>
        <w:rPr>
          <w:lang w:val="en-GB"/>
        </w:rPr>
      </w:pPr>
    </w:p>
    <w:p w14:paraId="1FDB1EBC" w14:textId="63018391" w:rsidR="2D2870C0" w:rsidRDefault="2D2870C0" w:rsidP="2D2870C0">
      <w:r>
        <w:rPr>
          <w:noProof/>
        </w:rPr>
        <w:drawing>
          <wp:inline distT="0" distB="0" distL="0" distR="0" wp14:anchorId="147A2C12" wp14:editId="20DE7F06">
            <wp:extent cx="6296974" cy="2682240"/>
            <wp:effectExtent l="0" t="0" r="0" b="0"/>
            <wp:docPr id="1780179812" name="Picture 68943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438781"/>
                    <pic:cNvPicPr/>
                  </pic:nvPicPr>
                  <pic:blipFill>
                    <a:blip r:embed="rId11">
                      <a:extLst>
                        <a:ext uri="{28A0092B-C50C-407E-A947-70E740481C1C}">
                          <a14:useLocalDpi xmlns:a14="http://schemas.microsoft.com/office/drawing/2010/main" val="0"/>
                        </a:ext>
                      </a:extLst>
                    </a:blip>
                    <a:stretch>
                      <a:fillRect/>
                    </a:stretch>
                  </pic:blipFill>
                  <pic:spPr>
                    <a:xfrm>
                      <a:off x="0" y="0"/>
                      <a:ext cx="6296974" cy="2682240"/>
                    </a:xfrm>
                    <a:prstGeom prst="rect">
                      <a:avLst/>
                    </a:prstGeom>
                  </pic:spPr>
                </pic:pic>
              </a:graphicData>
            </a:graphic>
          </wp:inline>
        </w:drawing>
      </w:r>
    </w:p>
    <w:p w14:paraId="43F61044" w14:textId="0B955B58" w:rsidR="2D2870C0" w:rsidRDefault="39BF1CF9" w:rsidP="39BF1CF9">
      <w:pPr>
        <w:pStyle w:val="ListParagraph"/>
        <w:numPr>
          <w:ilvl w:val="0"/>
          <w:numId w:val="2"/>
        </w:numPr>
        <w:rPr>
          <w:rFonts w:eastAsiaTheme="minorEastAsia"/>
        </w:rPr>
      </w:pPr>
      <w:r>
        <w:t xml:space="preserve">Click on save. </w:t>
      </w:r>
    </w:p>
    <w:p w14:paraId="4C721853" w14:textId="3B113FEB" w:rsidR="2D2870C0" w:rsidRDefault="39BF1CF9" w:rsidP="2D2870C0">
      <w:pPr>
        <w:pStyle w:val="ListParagraph"/>
        <w:numPr>
          <w:ilvl w:val="0"/>
          <w:numId w:val="2"/>
        </w:numPr>
      </w:pPr>
      <w:r>
        <w:t>The Data Source settings have been setup.</w:t>
      </w:r>
    </w:p>
    <w:p w14:paraId="089FA226" w14:textId="237457B7" w:rsidR="2D2870C0" w:rsidRDefault="2D2870C0" w:rsidP="2D2870C0"/>
    <w:p w14:paraId="53ED1A35" w14:textId="10B0D1E3" w:rsidR="39BF1CF9" w:rsidRDefault="39BF1CF9" w:rsidP="39BF1CF9"/>
    <w:p w14:paraId="2B8FFB53" w14:textId="33EAD7A7" w:rsidR="39BF1CF9" w:rsidRDefault="39BF1CF9" w:rsidP="39BF1CF9"/>
    <w:p w14:paraId="6D933AFA" w14:textId="60B3DD87" w:rsidR="39BF1CF9" w:rsidRDefault="39BF1CF9" w:rsidP="39BF1CF9"/>
    <w:p w14:paraId="6AF9E167" w14:textId="72B76474" w:rsidR="39BF1CF9" w:rsidRDefault="39BF1CF9" w:rsidP="39BF1CF9"/>
    <w:p w14:paraId="2A19EFF3" w14:textId="5BB9E418" w:rsidR="39BF1CF9" w:rsidRDefault="39BF1CF9" w:rsidP="39BF1CF9"/>
    <w:p w14:paraId="430A593E" w14:textId="12018453" w:rsidR="39BF1CF9" w:rsidRDefault="39BF1CF9" w:rsidP="39BF1CF9"/>
    <w:p w14:paraId="1BFCC397" w14:textId="5E0A3A50" w:rsidR="39BF1CF9" w:rsidRDefault="39BF1CF9" w:rsidP="39BF1CF9"/>
    <w:p w14:paraId="30777221" w14:textId="6618C835" w:rsidR="39BF1CF9" w:rsidRDefault="39BF1CF9" w:rsidP="39BF1CF9"/>
    <w:p w14:paraId="58A42FA3" w14:textId="27A1ABF9" w:rsidR="39BF1CF9" w:rsidRDefault="39BF1CF9" w:rsidP="39BF1CF9"/>
    <w:p w14:paraId="1C32D850" w14:textId="2DB8DB6B" w:rsidR="39BF1CF9" w:rsidRDefault="39BF1CF9" w:rsidP="39BF1CF9"/>
    <w:p w14:paraId="1DAB87AE" w14:textId="237A4D27" w:rsidR="39BF1CF9" w:rsidRDefault="39BF1CF9" w:rsidP="39BF1CF9"/>
    <w:p w14:paraId="3CBFF08F" w14:textId="30A567F8" w:rsidR="39BF1CF9" w:rsidRDefault="39BF1CF9" w:rsidP="39BF1CF9"/>
    <w:p w14:paraId="0183DFF2" w14:textId="76050777" w:rsidR="39BF1CF9" w:rsidRDefault="39BF1CF9" w:rsidP="39BF1CF9"/>
    <w:p w14:paraId="5B4F6E65" w14:textId="0B8DEF55" w:rsidR="39BF1CF9" w:rsidRDefault="39BF1CF9" w:rsidP="39BF1CF9"/>
    <w:p w14:paraId="59F32936" w14:textId="68003B4E" w:rsidR="39BF1CF9" w:rsidRDefault="39BF1CF9" w:rsidP="39BF1CF9"/>
    <w:p w14:paraId="34AE5357" w14:textId="560B8563" w:rsidR="2D2870C0" w:rsidRDefault="39BF1CF9" w:rsidP="2D2870C0">
      <w:pPr>
        <w:pStyle w:val="Heading2"/>
        <w:rPr>
          <w:b/>
          <w:bCs/>
          <w:color w:val="auto"/>
        </w:rPr>
      </w:pPr>
      <w:bookmarkStart w:id="4" w:name="_Toc33745043"/>
      <w:r w:rsidRPr="39BF1CF9">
        <w:rPr>
          <w:b/>
          <w:bCs/>
          <w:color w:val="auto"/>
        </w:rPr>
        <w:t>Use Case 3 – Test the correct Blocking Key is produced for the Record Type</w:t>
      </w:r>
      <w:bookmarkEnd w:id="4"/>
      <w:r w:rsidRPr="39BF1CF9">
        <w:rPr>
          <w:b/>
          <w:bCs/>
          <w:color w:val="auto"/>
        </w:rPr>
        <w:t xml:space="preserve"> </w:t>
      </w:r>
    </w:p>
    <w:p w14:paraId="236303EE" w14:textId="1D5A9A86" w:rsidR="2D2870C0" w:rsidRDefault="2D2870C0" w:rsidP="2D2870C0">
      <w:pPr>
        <w:rPr>
          <w:b/>
          <w:bCs/>
        </w:rPr>
      </w:pPr>
    </w:p>
    <w:p w14:paraId="784F2753" w14:textId="704AAF5C" w:rsidR="2D2870C0" w:rsidRDefault="39BF1CF9" w:rsidP="39BF1CF9">
      <w:pPr>
        <w:pStyle w:val="ListParagraph"/>
        <w:numPr>
          <w:ilvl w:val="0"/>
          <w:numId w:val="1"/>
        </w:numPr>
        <w:rPr>
          <w:rFonts w:eastAsiaTheme="minorEastAsia"/>
        </w:rPr>
      </w:pPr>
      <w:r>
        <w:t xml:space="preserve">Navigate to Accounts in Salesforce. </w:t>
      </w:r>
    </w:p>
    <w:p w14:paraId="1243A7BB" w14:textId="25288A57" w:rsidR="2D2870C0" w:rsidRDefault="39BF1CF9" w:rsidP="2D2870C0">
      <w:pPr>
        <w:pStyle w:val="ListParagraph"/>
        <w:numPr>
          <w:ilvl w:val="0"/>
          <w:numId w:val="1"/>
        </w:numPr>
      </w:pPr>
      <w:r>
        <w:t xml:space="preserve">Click on New. </w:t>
      </w:r>
    </w:p>
    <w:p w14:paraId="41FDB38A" w14:textId="1F12451F" w:rsidR="2D2870C0" w:rsidRDefault="39BF1CF9" w:rsidP="2D2870C0">
      <w:pPr>
        <w:pStyle w:val="ListParagraph"/>
        <w:numPr>
          <w:ilvl w:val="0"/>
          <w:numId w:val="1"/>
        </w:numPr>
      </w:pPr>
      <w:r>
        <w:t>Select the Record Type Supplier (in this example).</w:t>
      </w:r>
    </w:p>
    <w:p w14:paraId="63B7C001" w14:textId="2388EDD0" w:rsidR="2D2870C0" w:rsidRDefault="39BF1CF9" w:rsidP="2D2870C0">
      <w:pPr>
        <w:pStyle w:val="ListParagraph"/>
        <w:numPr>
          <w:ilvl w:val="0"/>
          <w:numId w:val="1"/>
        </w:numPr>
      </w:pPr>
      <w:r>
        <w:t>Enter the Supplier details.</w:t>
      </w:r>
    </w:p>
    <w:p w14:paraId="2EFD7AD6" w14:textId="59753EA0" w:rsidR="2D2870C0" w:rsidRDefault="39BF1CF9" w:rsidP="2D2870C0">
      <w:pPr>
        <w:pStyle w:val="ListParagraph"/>
        <w:numPr>
          <w:ilvl w:val="0"/>
          <w:numId w:val="1"/>
        </w:numPr>
      </w:pPr>
      <w:r>
        <w:t>Click on save.</w:t>
      </w:r>
    </w:p>
    <w:p w14:paraId="4B1698D6" w14:textId="60322351" w:rsidR="2D2870C0" w:rsidRDefault="2D2870C0" w:rsidP="39BF1CF9"/>
    <w:p w14:paraId="646FAB85" w14:textId="675E044D" w:rsidR="2D2870C0" w:rsidRDefault="2D2870C0" w:rsidP="2D2870C0"/>
    <w:p w14:paraId="70BBAD94" w14:textId="7B83D7C1" w:rsidR="2D2870C0" w:rsidRDefault="2D2870C0" w:rsidP="2D2870C0"/>
    <w:p w14:paraId="62E74F90" w14:textId="29C0B878" w:rsidR="2D2870C0" w:rsidRDefault="39BF1CF9" w:rsidP="2D2870C0">
      <w:r>
        <w:t>In this example the Blocking Key is the Account Name which has been correctly produced:</w:t>
      </w:r>
    </w:p>
    <w:p w14:paraId="75874CD2" w14:textId="6F2AD7A8" w:rsidR="2D2870C0" w:rsidRDefault="2D2870C0" w:rsidP="2D2870C0"/>
    <w:p w14:paraId="061D5162" w14:textId="6C8CEB5F" w:rsidR="2D2870C0" w:rsidRDefault="2D2870C0" w:rsidP="2D2870C0">
      <w:r>
        <w:rPr>
          <w:noProof/>
        </w:rPr>
        <w:drawing>
          <wp:inline distT="0" distB="0" distL="0" distR="0" wp14:anchorId="64957376" wp14:editId="6AE2BEA2">
            <wp:extent cx="6296974" cy="733425"/>
            <wp:effectExtent l="0" t="0" r="0" b="0"/>
            <wp:docPr id="105472941" name="Picture 175897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970705"/>
                    <pic:cNvPicPr/>
                  </pic:nvPicPr>
                  <pic:blipFill>
                    <a:blip r:embed="rId12">
                      <a:extLst>
                        <a:ext uri="{28A0092B-C50C-407E-A947-70E740481C1C}">
                          <a14:useLocalDpi xmlns:a14="http://schemas.microsoft.com/office/drawing/2010/main" val="0"/>
                        </a:ext>
                      </a:extLst>
                    </a:blip>
                    <a:stretch>
                      <a:fillRect/>
                    </a:stretch>
                  </pic:blipFill>
                  <pic:spPr>
                    <a:xfrm>
                      <a:off x="0" y="0"/>
                      <a:ext cx="6296974" cy="733425"/>
                    </a:xfrm>
                    <a:prstGeom prst="rect">
                      <a:avLst/>
                    </a:prstGeom>
                  </pic:spPr>
                </pic:pic>
              </a:graphicData>
            </a:graphic>
          </wp:inline>
        </w:drawing>
      </w:r>
    </w:p>
    <w:p w14:paraId="51735E0C" w14:textId="75EAECBB" w:rsidR="2D2870C0" w:rsidRDefault="39BF1CF9" w:rsidP="2D2870C0">
      <w:r>
        <w:t xml:space="preserve">If you want to use a different Blocking Key for any other record types within the SObject Type Account, then you create the Target Object and leave the Record Type blank. So, in our example, we have a Blocking Key of Account Phone for any other record types. </w:t>
      </w:r>
    </w:p>
    <w:p w14:paraId="1D216FBA" w14:textId="03EDDB15" w:rsidR="2D2870C0" w:rsidRDefault="2D2870C0" w:rsidP="2D2870C0"/>
    <w:p w14:paraId="1F1F8F11" w14:textId="36D40DFF" w:rsidR="2D2870C0" w:rsidRDefault="2D2870C0" w:rsidP="2D2870C0">
      <w:r>
        <w:rPr>
          <w:noProof/>
        </w:rPr>
        <w:drawing>
          <wp:inline distT="0" distB="0" distL="0" distR="0" wp14:anchorId="4A74459D" wp14:editId="498F0ACD">
            <wp:extent cx="6296974" cy="1728788"/>
            <wp:effectExtent l="0" t="0" r="0" b="0"/>
            <wp:docPr id="1176743423" name="Picture 171306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066273"/>
                    <pic:cNvPicPr/>
                  </pic:nvPicPr>
                  <pic:blipFill>
                    <a:blip r:embed="rId13">
                      <a:extLst>
                        <a:ext uri="{28A0092B-C50C-407E-A947-70E740481C1C}">
                          <a14:useLocalDpi xmlns:a14="http://schemas.microsoft.com/office/drawing/2010/main" val="0"/>
                        </a:ext>
                      </a:extLst>
                    </a:blip>
                    <a:stretch>
                      <a:fillRect/>
                    </a:stretch>
                  </pic:blipFill>
                  <pic:spPr>
                    <a:xfrm>
                      <a:off x="0" y="0"/>
                      <a:ext cx="6296974" cy="1728788"/>
                    </a:xfrm>
                    <a:prstGeom prst="rect">
                      <a:avLst/>
                    </a:prstGeom>
                  </pic:spPr>
                </pic:pic>
              </a:graphicData>
            </a:graphic>
          </wp:inline>
        </w:drawing>
      </w:r>
    </w:p>
    <w:p w14:paraId="0F3E097D" w14:textId="57274EC0" w:rsidR="2D2870C0" w:rsidRDefault="39BF1CF9" w:rsidP="2D2870C0">
      <w:r>
        <w:t>Creating a new record within Accounts which is not a Supplier will create the correct Blocking Key:</w:t>
      </w:r>
    </w:p>
    <w:p w14:paraId="22C6C829" w14:textId="3EAC03AC" w:rsidR="2D2870C0" w:rsidRDefault="2D2870C0" w:rsidP="2D2870C0"/>
    <w:p w14:paraId="5FDCCC78" w14:textId="52DC7E6D" w:rsidR="2D2870C0" w:rsidRDefault="39BF1CF9" w:rsidP="2D2870C0">
      <w:r>
        <w:t xml:space="preserve">In this example, the phone has been used: </w:t>
      </w:r>
    </w:p>
    <w:p w14:paraId="39E1D261" w14:textId="2630887E" w:rsidR="2D2870C0" w:rsidRDefault="2D2870C0" w:rsidP="2D2870C0"/>
    <w:p w14:paraId="31A08DE2" w14:textId="694259D9" w:rsidR="2D2870C0" w:rsidRDefault="2D2870C0" w:rsidP="2D2870C0">
      <w:r>
        <w:rPr>
          <w:noProof/>
        </w:rPr>
        <w:drawing>
          <wp:inline distT="0" distB="0" distL="0" distR="0" wp14:anchorId="7E24E019" wp14:editId="0A3E43FE">
            <wp:extent cx="6296974" cy="597218"/>
            <wp:effectExtent l="0" t="0" r="0" b="0"/>
            <wp:docPr id="617863109" name="Picture 205340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400337"/>
                    <pic:cNvPicPr/>
                  </pic:nvPicPr>
                  <pic:blipFill>
                    <a:blip r:embed="rId14">
                      <a:extLst>
                        <a:ext uri="{28A0092B-C50C-407E-A947-70E740481C1C}">
                          <a14:useLocalDpi xmlns:a14="http://schemas.microsoft.com/office/drawing/2010/main" val="0"/>
                        </a:ext>
                      </a:extLst>
                    </a:blip>
                    <a:stretch>
                      <a:fillRect/>
                    </a:stretch>
                  </pic:blipFill>
                  <pic:spPr>
                    <a:xfrm>
                      <a:off x="0" y="0"/>
                      <a:ext cx="6296974" cy="597218"/>
                    </a:xfrm>
                    <a:prstGeom prst="rect">
                      <a:avLst/>
                    </a:prstGeom>
                  </pic:spPr>
                </pic:pic>
              </a:graphicData>
            </a:graphic>
          </wp:inline>
        </w:drawing>
      </w:r>
    </w:p>
    <w:p w14:paraId="27330A99" w14:textId="3A9DA129" w:rsidR="2D2870C0" w:rsidRDefault="39BF1CF9" w:rsidP="2D2870C0">
      <w:r>
        <w:t xml:space="preserve">This means when the matching, merging jobs are run, the two records that have been created will not be matched as the Blocking Key is different. </w:t>
      </w:r>
    </w:p>
    <w:sectPr w:rsidR="2D2870C0" w:rsidSect="00C72C5B">
      <w:headerReference w:type="default" r:id="rId15"/>
      <w:footerReference w:type="even" r:id="rId16"/>
      <w:footerReference w:type="defaul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68C3" w14:textId="77777777" w:rsidR="002E1C32" w:rsidRDefault="002E1C32" w:rsidP="00163A4A">
      <w:r>
        <w:separator/>
      </w:r>
    </w:p>
  </w:endnote>
  <w:endnote w:type="continuationSeparator" w:id="0">
    <w:p w14:paraId="6D376DE6" w14:textId="77777777" w:rsidR="002E1C32" w:rsidRDefault="002E1C32"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98AC" w14:textId="77777777" w:rsidR="002E1C32" w:rsidRDefault="002E1C32" w:rsidP="00163A4A">
      <w:r>
        <w:separator/>
      </w:r>
    </w:p>
  </w:footnote>
  <w:footnote w:type="continuationSeparator" w:id="0">
    <w:p w14:paraId="4AEE7CAB" w14:textId="77777777" w:rsidR="002E1C32" w:rsidRDefault="002E1C32"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1B8E3D5C">
          <wp:extent cx="2129538" cy="278587"/>
          <wp:effectExtent l="0" t="0" r="4445" b="1270"/>
          <wp:docPr id="2039711522" name="Picture 193274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742372"/>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E2D"/>
    <w:multiLevelType w:val="hybridMultilevel"/>
    <w:tmpl w:val="16D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269A"/>
    <w:multiLevelType w:val="hybridMultilevel"/>
    <w:tmpl w:val="FFFFFFFF"/>
    <w:lvl w:ilvl="0" w:tplc="14FA38F6">
      <w:start w:val="1"/>
      <w:numFmt w:val="decimal"/>
      <w:lvlText w:val="%1."/>
      <w:lvlJc w:val="left"/>
      <w:pPr>
        <w:ind w:left="720" w:hanging="360"/>
      </w:pPr>
    </w:lvl>
    <w:lvl w:ilvl="1" w:tplc="94147000">
      <w:start w:val="1"/>
      <w:numFmt w:val="lowerLetter"/>
      <w:lvlText w:val="%2."/>
      <w:lvlJc w:val="left"/>
      <w:pPr>
        <w:ind w:left="1440" w:hanging="360"/>
      </w:pPr>
    </w:lvl>
    <w:lvl w:ilvl="2" w:tplc="3A24D244">
      <w:start w:val="1"/>
      <w:numFmt w:val="lowerRoman"/>
      <w:lvlText w:val="%3."/>
      <w:lvlJc w:val="right"/>
      <w:pPr>
        <w:ind w:left="2160" w:hanging="180"/>
      </w:pPr>
    </w:lvl>
    <w:lvl w:ilvl="3" w:tplc="F3B05498">
      <w:start w:val="1"/>
      <w:numFmt w:val="decimal"/>
      <w:lvlText w:val="%4."/>
      <w:lvlJc w:val="left"/>
      <w:pPr>
        <w:ind w:left="2880" w:hanging="360"/>
      </w:pPr>
    </w:lvl>
    <w:lvl w:ilvl="4" w:tplc="D20E03DE">
      <w:start w:val="1"/>
      <w:numFmt w:val="lowerLetter"/>
      <w:lvlText w:val="%5."/>
      <w:lvlJc w:val="left"/>
      <w:pPr>
        <w:ind w:left="3600" w:hanging="360"/>
      </w:pPr>
    </w:lvl>
    <w:lvl w:ilvl="5" w:tplc="CD62CC6C">
      <w:start w:val="1"/>
      <w:numFmt w:val="lowerRoman"/>
      <w:lvlText w:val="%6."/>
      <w:lvlJc w:val="right"/>
      <w:pPr>
        <w:ind w:left="4320" w:hanging="180"/>
      </w:pPr>
    </w:lvl>
    <w:lvl w:ilvl="6" w:tplc="EA9C2542">
      <w:start w:val="1"/>
      <w:numFmt w:val="decimal"/>
      <w:lvlText w:val="%7."/>
      <w:lvlJc w:val="left"/>
      <w:pPr>
        <w:ind w:left="5040" w:hanging="360"/>
      </w:pPr>
    </w:lvl>
    <w:lvl w:ilvl="7" w:tplc="C7BADF52">
      <w:start w:val="1"/>
      <w:numFmt w:val="lowerLetter"/>
      <w:lvlText w:val="%8."/>
      <w:lvlJc w:val="left"/>
      <w:pPr>
        <w:ind w:left="5760" w:hanging="360"/>
      </w:pPr>
    </w:lvl>
    <w:lvl w:ilvl="8" w:tplc="FE906478">
      <w:start w:val="1"/>
      <w:numFmt w:val="lowerRoman"/>
      <w:lvlText w:val="%9."/>
      <w:lvlJc w:val="right"/>
      <w:pPr>
        <w:ind w:left="6480" w:hanging="180"/>
      </w:pPr>
    </w:lvl>
  </w:abstractNum>
  <w:abstractNum w:abstractNumId="2" w15:restartNumberingAfterBreak="0">
    <w:nsid w:val="1A1A0C57"/>
    <w:multiLevelType w:val="hybridMultilevel"/>
    <w:tmpl w:val="539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B6D16"/>
    <w:multiLevelType w:val="hybridMultilevel"/>
    <w:tmpl w:val="FFFFFFFF"/>
    <w:lvl w:ilvl="0" w:tplc="70AA8576">
      <w:start w:val="1"/>
      <w:numFmt w:val="decimal"/>
      <w:lvlText w:val="%1."/>
      <w:lvlJc w:val="left"/>
      <w:pPr>
        <w:ind w:left="720" w:hanging="360"/>
      </w:pPr>
    </w:lvl>
    <w:lvl w:ilvl="1" w:tplc="735854B6">
      <w:start w:val="1"/>
      <w:numFmt w:val="lowerLetter"/>
      <w:lvlText w:val="%2."/>
      <w:lvlJc w:val="left"/>
      <w:pPr>
        <w:ind w:left="1440" w:hanging="360"/>
      </w:pPr>
    </w:lvl>
    <w:lvl w:ilvl="2" w:tplc="20F820DE">
      <w:start w:val="1"/>
      <w:numFmt w:val="lowerRoman"/>
      <w:lvlText w:val="%3."/>
      <w:lvlJc w:val="right"/>
      <w:pPr>
        <w:ind w:left="2160" w:hanging="180"/>
      </w:pPr>
    </w:lvl>
    <w:lvl w:ilvl="3" w:tplc="37F06906">
      <w:start w:val="1"/>
      <w:numFmt w:val="decimal"/>
      <w:lvlText w:val="%4."/>
      <w:lvlJc w:val="left"/>
      <w:pPr>
        <w:ind w:left="2880" w:hanging="360"/>
      </w:pPr>
    </w:lvl>
    <w:lvl w:ilvl="4" w:tplc="64CEB314">
      <w:start w:val="1"/>
      <w:numFmt w:val="lowerLetter"/>
      <w:lvlText w:val="%5."/>
      <w:lvlJc w:val="left"/>
      <w:pPr>
        <w:ind w:left="3600" w:hanging="360"/>
      </w:pPr>
    </w:lvl>
    <w:lvl w:ilvl="5" w:tplc="99E6A766">
      <w:start w:val="1"/>
      <w:numFmt w:val="lowerRoman"/>
      <w:lvlText w:val="%6."/>
      <w:lvlJc w:val="right"/>
      <w:pPr>
        <w:ind w:left="4320" w:hanging="180"/>
      </w:pPr>
    </w:lvl>
    <w:lvl w:ilvl="6" w:tplc="6BCCDB1C">
      <w:start w:val="1"/>
      <w:numFmt w:val="decimal"/>
      <w:lvlText w:val="%7."/>
      <w:lvlJc w:val="left"/>
      <w:pPr>
        <w:ind w:left="5040" w:hanging="360"/>
      </w:pPr>
    </w:lvl>
    <w:lvl w:ilvl="7" w:tplc="6AEEC078">
      <w:start w:val="1"/>
      <w:numFmt w:val="lowerLetter"/>
      <w:lvlText w:val="%8."/>
      <w:lvlJc w:val="left"/>
      <w:pPr>
        <w:ind w:left="5760" w:hanging="360"/>
      </w:pPr>
    </w:lvl>
    <w:lvl w:ilvl="8" w:tplc="64187556">
      <w:start w:val="1"/>
      <w:numFmt w:val="lowerRoman"/>
      <w:lvlText w:val="%9."/>
      <w:lvlJc w:val="right"/>
      <w:pPr>
        <w:ind w:left="6480" w:hanging="180"/>
      </w:pPr>
    </w:lvl>
  </w:abstractNum>
  <w:abstractNum w:abstractNumId="4" w15:restartNumberingAfterBreak="0">
    <w:nsid w:val="1BBB1016"/>
    <w:multiLevelType w:val="hybridMultilevel"/>
    <w:tmpl w:val="FFFFFFFF"/>
    <w:lvl w:ilvl="0" w:tplc="93665302">
      <w:start w:val="1"/>
      <w:numFmt w:val="decimal"/>
      <w:lvlText w:val="%1."/>
      <w:lvlJc w:val="left"/>
      <w:pPr>
        <w:ind w:left="720" w:hanging="360"/>
      </w:pPr>
    </w:lvl>
    <w:lvl w:ilvl="1" w:tplc="E800F4BC">
      <w:start w:val="1"/>
      <w:numFmt w:val="lowerLetter"/>
      <w:lvlText w:val="%2."/>
      <w:lvlJc w:val="left"/>
      <w:pPr>
        <w:ind w:left="1440" w:hanging="360"/>
      </w:pPr>
    </w:lvl>
    <w:lvl w:ilvl="2" w:tplc="64405246">
      <w:start w:val="1"/>
      <w:numFmt w:val="lowerRoman"/>
      <w:lvlText w:val="%3."/>
      <w:lvlJc w:val="right"/>
      <w:pPr>
        <w:ind w:left="2160" w:hanging="180"/>
      </w:pPr>
    </w:lvl>
    <w:lvl w:ilvl="3" w:tplc="ADECD3C0">
      <w:start w:val="1"/>
      <w:numFmt w:val="decimal"/>
      <w:lvlText w:val="%4."/>
      <w:lvlJc w:val="left"/>
      <w:pPr>
        <w:ind w:left="2880" w:hanging="360"/>
      </w:pPr>
    </w:lvl>
    <w:lvl w:ilvl="4" w:tplc="F7D2FC4C">
      <w:start w:val="1"/>
      <w:numFmt w:val="lowerLetter"/>
      <w:lvlText w:val="%5."/>
      <w:lvlJc w:val="left"/>
      <w:pPr>
        <w:ind w:left="3600" w:hanging="360"/>
      </w:pPr>
    </w:lvl>
    <w:lvl w:ilvl="5" w:tplc="AC920368">
      <w:start w:val="1"/>
      <w:numFmt w:val="lowerRoman"/>
      <w:lvlText w:val="%6."/>
      <w:lvlJc w:val="right"/>
      <w:pPr>
        <w:ind w:left="4320" w:hanging="180"/>
      </w:pPr>
    </w:lvl>
    <w:lvl w:ilvl="6" w:tplc="2C425BDA">
      <w:start w:val="1"/>
      <w:numFmt w:val="decimal"/>
      <w:lvlText w:val="%7."/>
      <w:lvlJc w:val="left"/>
      <w:pPr>
        <w:ind w:left="5040" w:hanging="360"/>
      </w:pPr>
    </w:lvl>
    <w:lvl w:ilvl="7" w:tplc="1FE05896">
      <w:start w:val="1"/>
      <w:numFmt w:val="lowerLetter"/>
      <w:lvlText w:val="%8."/>
      <w:lvlJc w:val="left"/>
      <w:pPr>
        <w:ind w:left="5760" w:hanging="360"/>
      </w:pPr>
    </w:lvl>
    <w:lvl w:ilvl="8" w:tplc="F8B268D4">
      <w:start w:val="1"/>
      <w:numFmt w:val="lowerRoman"/>
      <w:lvlText w:val="%9."/>
      <w:lvlJc w:val="right"/>
      <w:pPr>
        <w:ind w:left="6480" w:hanging="180"/>
      </w:pPr>
    </w:lvl>
  </w:abstractNum>
  <w:abstractNum w:abstractNumId="5" w15:restartNumberingAfterBreak="0">
    <w:nsid w:val="1D835E25"/>
    <w:multiLevelType w:val="hybridMultilevel"/>
    <w:tmpl w:val="FFFFFFFF"/>
    <w:lvl w:ilvl="0" w:tplc="12A0CA2A">
      <w:start w:val="1"/>
      <w:numFmt w:val="decimal"/>
      <w:lvlText w:val="%1."/>
      <w:lvlJc w:val="left"/>
      <w:pPr>
        <w:ind w:left="720" w:hanging="360"/>
      </w:pPr>
    </w:lvl>
    <w:lvl w:ilvl="1" w:tplc="6092450E">
      <w:start w:val="1"/>
      <w:numFmt w:val="lowerLetter"/>
      <w:lvlText w:val="%2."/>
      <w:lvlJc w:val="left"/>
      <w:pPr>
        <w:ind w:left="1440" w:hanging="360"/>
      </w:pPr>
    </w:lvl>
    <w:lvl w:ilvl="2" w:tplc="BCDE2104">
      <w:start w:val="1"/>
      <w:numFmt w:val="lowerRoman"/>
      <w:lvlText w:val="%3."/>
      <w:lvlJc w:val="right"/>
      <w:pPr>
        <w:ind w:left="2160" w:hanging="180"/>
      </w:pPr>
    </w:lvl>
    <w:lvl w:ilvl="3" w:tplc="0428F270">
      <w:start w:val="1"/>
      <w:numFmt w:val="decimal"/>
      <w:lvlText w:val="%4."/>
      <w:lvlJc w:val="left"/>
      <w:pPr>
        <w:ind w:left="2880" w:hanging="360"/>
      </w:pPr>
    </w:lvl>
    <w:lvl w:ilvl="4" w:tplc="55A2B8FA">
      <w:start w:val="1"/>
      <w:numFmt w:val="lowerLetter"/>
      <w:lvlText w:val="%5."/>
      <w:lvlJc w:val="left"/>
      <w:pPr>
        <w:ind w:left="3600" w:hanging="360"/>
      </w:pPr>
    </w:lvl>
    <w:lvl w:ilvl="5" w:tplc="E2046BC0">
      <w:start w:val="1"/>
      <w:numFmt w:val="lowerRoman"/>
      <w:lvlText w:val="%6."/>
      <w:lvlJc w:val="right"/>
      <w:pPr>
        <w:ind w:left="4320" w:hanging="180"/>
      </w:pPr>
    </w:lvl>
    <w:lvl w:ilvl="6" w:tplc="2F2621A4">
      <w:start w:val="1"/>
      <w:numFmt w:val="decimal"/>
      <w:lvlText w:val="%7."/>
      <w:lvlJc w:val="left"/>
      <w:pPr>
        <w:ind w:left="5040" w:hanging="360"/>
      </w:pPr>
    </w:lvl>
    <w:lvl w:ilvl="7" w:tplc="DA0219F4">
      <w:start w:val="1"/>
      <w:numFmt w:val="lowerLetter"/>
      <w:lvlText w:val="%8."/>
      <w:lvlJc w:val="left"/>
      <w:pPr>
        <w:ind w:left="5760" w:hanging="360"/>
      </w:pPr>
    </w:lvl>
    <w:lvl w:ilvl="8" w:tplc="26948030">
      <w:start w:val="1"/>
      <w:numFmt w:val="lowerRoman"/>
      <w:lvlText w:val="%9."/>
      <w:lvlJc w:val="right"/>
      <w:pPr>
        <w:ind w:left="6480" w:hanging="180"/>
      </w:pPr>
    </w:lvl>
  </w:abstractNum>
  <w:abstractNum w:abstractNumId="6" w15:restartNumberingAfterBreak="0">
    <w:nsid w:val="30FC7D7D"/>
    <w:multiLevelType w:val="hybridMultilevel"/>
    <w:tmpl w:val="FFFFFFFF"/>
    <w:lvl w:ilvl="0" w:tplc="CB8AF320">
      <w:start w:val="1"/>
      <w:numFmt w:val="bullet"/>
      <w:lvlText w:val=""/>
      <w:lvlJc w:val="left"/>
      <w:pPr>
        <w:ind w:left="720" w:hanging="360"/>
      </w:pPr>
      <w:rPr>
        <w:rFonts w:ascii="Symbol" w:hAnsi="Symbol" w:hint="default"/>
      </w:rPr>
    </w:lvl>
    <w:lvl w:ilvl="1" w:tplc="C3DC69E2">
      <w:start w:val="1"/>
      <w:numFmt w:val="bullet"/>
      <w:lvlText w:val="o"/>
      <w:lvlJc w:val="left"/>
      <w:pPr>
        <w:ind w:left="1440" w:hanging="360"/>
      </w:pPr>
      <w:rPr>
        <w:rFonts w:ascii="Courier New" w:hAnsi="Courier New" w:hint="default"/>
      </w:rPr>
    </w:lvl>
    <w:lvl w:ilvl="2" w:tplc="8A50B05A">
      <w:start w:val="1"/>
      <w:numFmt w:val="bullet"/>
      <w:lvlText w:val=""/>
      <w:lvlJc w:val="left"/>
      <w:pPr>
        <w:ind w:left="2160" w:hanging="360"/>
      </w:pPr>
      <w:rPr>
        <w:rFonts w:ascii="Wingdings" w:hAnsi="Wingdings" w:hint="default"/>
      </w:rPr>
    </w:lvl>
    <w:lvl w:ilvl="3" w:tplc="E814C914">
      <w:start w:val="1"/>
      <w:numFmt w:val="bullet"/>
      <w:lvlText w:val=""/>
      <w:lvlJc w:val="left"/>
      <w:pPr>
        <w:ind w:left="2880" w:hanging="360"/>
      </w:pPr>
      <w:rPr>
        <w:rFonts w:ascii="Symbol" w:hAnsi="Symbol" w:hint="default"/>
      </w:rPr>
    </w:lvl>
    <w:lvl w:ilvl="4" w:tplc="93362752">
      <w:start w:val="1"/>
      <w:numFmt w:val="bullet"/>
      <w:lvlText w:val="o"/>
      <w:lvlJc w:val="left"/>
      <w:pPr>
        <w:ind w:left="3600" w:hanging="360"/>
      </w:pPr>
      <w:rPr>
        <w:rFonts w:ascii="Courier New" w:hAnsi="Courier New" w:hint="default"/>
      </w:rPr>
    </w:lvl>
    <w:lvl w:ilvl="5" w:tplc="F8D4A1BE">
      <w:start w:val="1"/>
      <w:numFmt w:val="bullet"/>
      <w:lvlText w:val=""/>
      <w:lvlJc w:val="left"/>
      <w:pPr>
        <w:ind w:left="4320" w:hanging="360"/>
      </w:pPr>
      <w:rPr>
        <w:rFonts w:ascii="Wingdings" w:hAnsi="Wingdings" w:hint="default"/>
      </w:rPr>
    </w:lvl>
    <w:lvl w:ilvl="6" w:tplc="A8CAEFE0">
      <w:start w:val="1"/>
      <w:numFmt w:val="bullet"/>
      <w:lvlText w:val=""/>
      <w:lvlJc w:val="left"/>
      <w:pPr>
        <w:ind w:left="5040" w:hanging="360"/>
      </w:pPr>
      <w:rPr>
        <w:rFonts w:ascii="Symbol" w:hAnsi="Symbol" w:hint="default"/>
      </w:rPr>
    </w:lvl>
    <w:lvl w:ilvl="7" w:tplc="E4AC4C14">
      <w:start w:val="1"/>
      <w:numFmt w:val="bullet"/>
      <w:lvlText w:val="o"/>
      <w:lvlJc w:val="left"/>
      <w:pPr>
        <w:ind w:left="5760" w:hanging="360"/>
      </w:pPr>
      <w:rPr>
        <w:rFonts w:ascii="Courier New" w:hAnsi="Courier New" w:hint="default"/>
      </w:rPr>
    </w:lvl>
    <w:lvl w:ilvl="8" w:tplc="E8F6AA0C">
      <w:start w:val="1"/>
      <w:numFmt w:val="bullet"/>
      <w:lvlText w:val=""/>
      <w:lvlJc w:val="left"/>
      <w:pPr>
        <w:ind w:left="6480" w:hanging="360"/>
      </w:pPr>
      <w:rPr>
        <w:rFonts w:ascii="Wingdings" w:hAnsi="Wingdings" w:hint="default"/>
      </w:rPr>
    </w:lvl>
  </w:abstractNum>
  <w:abstractNum w:abstractNumId="7" w15:restartNumberingAfterBreak="0">
    <w:nsid w:val="3F7A74F8"/>
    <w:multiLevelType w:val="hybridMultilevel"/>
    <w:tmpl w:val="FFFFFFFF"/>
    <w:lvl w:ilvl="0" w:tplc="1D5CC40C">
      <w:start w:val="1"/>
      <w:numFmt w:val="decimal"/>
      <w:lvlText w:val="%1."/>
      <w:lvlJc w:val="left"/>
      <w:pPr>
        <w:ind w:left="720" w:hanging="360"/>
      </w:pPr>
    </w:lvl>
    <w:lvl w:ilvl="1" w:tplc="87C2C0F2">
      <w:start w:val="1"/>
      <w:numFmt w:val="lowerLetter"/>
      <w:lvlText w:val="%2."/>
      <w:lvlJc w:val="left"/>
      <w:pPr>
        <w:ind w:left="1440" w:hanging="360"/>
      </w:pPr>
    </w:lvl>
    <w:lvl w:ilvl="2" w:tplc="8C1EF54C">
      <w:start w:val="1"/>
      <w:numFmt w:val="lowerRoman"/>
      <w:lvlText w:val="%3."/>
      <w:lvlJc w:val="right"/>
      <w:pPr>
        <w:ind w:left="2160" w:hanging="180"/>
      </w:pPr>
    </w:lvl>
    <w:lvl w:ilvl="3" w:tplc="FA5A021C">
      <w:start w:val="1"/>
      <w:numFmt w:val="decimal"/>
      <w:lvlText w:val="%4."/>
      <w:lvlJc w:val="left"/>
      <w:pPr>
        <w:ind w:left="2880" w:hanging="360"/>
      </w:pPr>
    </w:lvl>
    <w:lvl w:ilvl="4" w:tplc="381E65BE">
      <w:start w:val="1"/>
      <w:numFmt w:val="lowerLetter"/>
      <w:lvlText w:val="%5."/>
      <w:lvlJc w:val="left"/>
      <w:pPr>
        <w:ind w:left="3600" w:hanging="360"/>
      </w:pPr>
    </w:lvl>
    <w:lvl w:ilvl="5" w:tplc="BEC2A0E6">
      <w:start w:val="1"/>
      <w:numFmt w:val="lowerRoman"/>
      <w:lvlText w:val="%6."/>
      <w:lvlJc w:val="right"/>
      <w:pPr>
        <w:ind w:left="4320" w:hanging="180"/>
      </w:pPr>
    </w:lvl>
    <w:lvl w:ilvl="6" w:tplc="34A0348A">
      <w:start w:val="1"/>
      <w:numFmt w:val="decimal"/>
      <w:lvlText w:val="%7."/>
      <w:lvlJc w:val="left"/>
      <w:pPr>
        <w:ind w:left="5040" w:hanging="360"/>
      </w:pPr>
    </w:lvl>
    <w:lvl w:ilvl="7" w:tplc="F9886F42">
      <w:start w:val="1"/>
      <w:numFmt w:val="lowerLetter"/>
      <w:lvlText w:val="%8."/>
      <w:lvlJc w:val="left"/>
      <w:pPr>
        <w:ind w:left="5760" w:hanging="360"/>
      </w:pPr>
    </w:lvl>
    <w:lvl w:ilvl="8" w:tplc="925A2B8E">
      <w:start w:val="1"/>
      <w:numFmt w:val="lowerRoman"/>
      <w:lvlText w:val="%9."/>
      <w:lvlJc w:val="right"/>
      <w:pPr>
        <w:ind w:left="6480" w:hanging="180"/>
      </w:pPr>
    </w:lvl>
  </w:abstractNum>
  <w:abstractNum w:abstractNumId="8" w15:restartNumberingAfterBreak="0">
    <w:nsid w:val="4DFD1A17"/>
    <w:multiLevelType w:val="hybridMultilevel"/>
    <w:tmpl w:val="07A6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31412"/>
    <w:multiLevelType w:val="hybridMultilevel"/>
    <w:tmpl w:val="71BA7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5366A5"/>
    <w:multiLevelType w:val="hybridMultilevel"/>
    <w:tmpl w:val="FFFFFFFF"/>
    <w:lvl w:ilvl="0" w:tplc="171AA25C">
      <w:start w:val="1"/>
      <w:numFmt w:val="decimal"/>
      <w:lvlText w:val="%1."/>
      <w:lvlJc w:val="left"/>
      <w:pPr>
        <w:ind w:left="720" w:hanging="360"/>
      </w:pPr>
    </w:lvl>
    <w:lvl w:ilvl="1" w:tplc="1C1A7638">
      <w:start w:val="1"/>
      <w:numFmt w:val="lowerLetter"/>
      <w:lvlText w:val="%2."/>
      <w:lvlJc w:val="left"/>
      <w:pPr>
        <w:ind w:left="1440" w:hanging="360"/>
      </w:pPr>
    </w:lvl>
    <w:lvl w:ilvl="2" w:tplc="A8D6A0A4">
      <w:start w:val="1"/>
      <w:numFmt w:val="lowerRoman"/>
      <w:lvlText w:val="%3."/>
      <w:lvlJc w:val="right"/>
      <w:pPr>
        <w:ind w:left="2160" w:hanging="180"/>
      </w:pPr>
    </w:lvl>
    <w:lvl w:ilvl="3" w:tplc="21B4519E">
      <w:start w:val="1"/>
      <w:numFmt w:val="decimal"/>
      <w:lvlText w:val="%4."/>
      <w:lvlJc w:val="left"/>
      <w:pPr>
        <w:ind w:left="2880" w:hanging="360"/>
      </w:pPr>
    </w:lvl>
    <w:lvl w:ilvl="4" w:tplc="A9E40316">
      <w:start w:val="1"/>
      <w:numFmt w:val="lowerLetter"/>
      <w:lvlText w:val="%5."/>
      <w:lvlJc w:val="left"/>
      <w:pPr>
        <w:ind w:left="3600" w:hanging="360"/>
      </w:pPr>
    </w:lvl>
    <w:lvl w:ilvl="5" w:tplc="CADAA544">
      <w:start w:val="1"/>
      <w:numFmt w:val="lowerRoman"/>
      <w:lvlText w:val="%6."/>
      <w:lvlJc w:val="right"/>
      <w:pPr>
        <w:ind w:left="4320" w:hanging="180"/>
      </w:pPr>
    </w:lvl>
    <w:lvl w:ilvl="6" w:tplc="CE4E39EA">
      <w:start w:val="1"/>
      <w:numFmt w:val="decimal"/>
      <w:lvlText w:val="%7."/>
      <w:lvlJc w:val="left"/>
      <w:pPr>
        <w:ind w:left="5040" w:hanging="360"/>
      </w:pPr>
    </w:lvl>
    <w:lvl w:ilvl="7" w:tplc="23DE4584">
      <w:start w:val="1"/>
      <w:numFmt w:val="lowerLetter"/>
      <w:lvlText w:val="%8."/>
      <w:lvlJc w:val="left"/>
      <w:pPr>
        <w:ind w:left="5760" w:hanging="360"/>
      </w:pPr>
    </w:lvl>
    <w:lvl w:ilvl="8" w:tplc="582AAF0E">
      <w:start w:val="1"/>
      <w:numFmt w:val="lowerRoman"/>
      <w:lvlText w:val="%9."/>
      <w:lvlJc w:val="right"/>
      <w:pPr>
        <w:ind w:left="6480" w:hanging="180"/>
      </w:pPr>
    </w:lvl>
  </w:abstractNum>
  <w:abstractNum w:abstractNumId="11" w15:restartNumberingAfterBreak="0">
    <w:nsid w:val="72200E3A"/>
    <w:multiLevelType w:val="hybridMultilevel"/>
    <w:tmpl w:val="FFFFFFFF"/>
    <w:lvl w:ilvl="0" w:tplc="0EFAD9D0">
      <w:start w:val="1"/>
      <w:numFmt w:val="decimal"/>
      <w:lvlText w:val="%1."/>
      <w:lvlJc w:val="left"/>
      <w:pPr>
        <w:ind w:left="720" w:hanging="360"/>
      </w:pPr>
    </w:lvl>
    <w:lvl w:ilvl="1" w:tplc="94C4A28A">
      <w:start w:val="1"/>
      <w:numFmt w:val="lowerLetter"/>
      <w:lvlText w:val="%2."/>
      <w:lvlJc w:val="left"/>
      <w:pPr>
        <w:ind w:left="1440" w:hanging="360"/>
      </w:pPr>
    </w:lvl>
    <w:lvl w:ilvl="2" w:tplc="12C8DDA4">
      <w:start w:val="1"/>
      <w:numFmt w:val="lowerRoman"/>
      <w:lvlText w:val="%3."/>
      <w:lvlJc w:val="right"/>
      <w:pPr>
        <w:ind w:left="2160" w:hanging="180"/>
      </w:pPr>
    </w:lvl>
    <w:lvl w:ilvl="3" w:tplc="5A8C0EDC">
      <w:start w:val="1"/>
      <w:numFmt w:val="decimal"/>
      <w:lvlText w:val="%4."/>
      <w:lvlJc w:val="left"/>
      <w:pPr>
        <w:ind w:left="2880" w:hanging="360"/>
      </w:pPr>
    </w:lvl>
    <w:lvl w:ilvl="4" w:tplc="82EC33E2">
      <w:start w:val="1"/>
      <w:numFmt w:val="lowerLetter"/>
      <w:lvlText w:val="%5."/>
      <w:lvlJc w:val="left"/>
      <w:pPr>
        <w:ind w:left="3600" w:hanging="360"/>
      </w:pPr>
    </w:lvl>
    <w:lvl w:ilvl="5" w:tplc="BE0678DE">
      <w:start w:val="1"/>
      <w:numFmt w:val="lowerRoman"/>
      <w:lvlText w:val="%6."/>
      <w:lvlJc w:val="right"/>
      <w:pPr>
        <w:ind w:left="4320" w:hanging="180"/>
      </w:pPr>
    </w:lvl>
    <w:lvl w:ilvl="6" w:tplc="4E800C1E">
      <w:start w:val="1"/>
      <w:numFmt w:val="decimal"/>
      <w:lvlText w:val="%7."/>
      <w:lvlJc w:val="left"/>
      <w:pPr>
        <w:ind w:left="5040" w:hanging="360"/>
      </w:pPr>
    </w:lvl>
    <w:lvl w:ilvl="7" w:tplc="5D18C710">
      <w:start w:val="1"/>
      <w:numFmt w:val="lowerLetter"/>
      <w:lvlText w:val="%8."/>
      <w:lvlJc w:val="left"/>
      <w:pPr>
        <w:ind w:left="5760" w:hanging="360"/>
      </w:pPr>
    </w:lvl>
    <w:lvl w:ilvl="8" w:tplc="6BAE7784">
      <w:start w:val="1"/>
      <w:numFmt w:val="lowerRoman"/>
      <w:lvlText w:val="%9."/>
      <w:lvlJc w:val="right"/>
      <w:pPr>
        <w:ind w:left="6480" w:hanging="180"/>
      </w:pPr>
    </w:lvl>
  </w:abstractNum>
  <w:abstractNum w:abstractNumId="12" w15:restartNumberingAfterBreak="0">
    <w:nsid w:val="789944F0"/>
    <w:multiLevelType w:val="hybridMultilevel"/>
    <w:tmpl w:val="FFFFFFFF"/>
    <w:lvl w:ilvl="0" w:tplc="D67619C0">
      <w:start w:val="1"/>
      <w:numFmt w:val="decimal"/>
      <w:lvlText w:val="%1."/>
      <w:lvlJc w:val="left"/>
      <w:pPr>
        <w:ind w:left="720" w:hanging="360"/>
      </w:pPr>
    </w:lvl>
    <w:lvl w:ilvl="1" w:tplc="2532384A">
      <w:start w:val="1"/>
      <w:numFmt w:val="lowerLetter"/>
      <w:lvlText w:val="%2."/>
      <w:lvlJc w:val="left"/>
      <w:pPr>
        <w:ind w:left="1440" w:hanging="360"/>
      </w:pPr>
    </w:lvl>
    <w:lvl w:ilvl="2" w:tplc="DA267948">
      <w:start w:val="1"/>
      <w:numFmt w:val="lowerRoman"/>
      <w:lvlText w:val="%3."/>
      <w:lvlJc w:val="right"/>
      <w:pPr>
        <w:ind w:left="2160" w:hanging="180"/>
      </w:pPr>
    </w:lvl>
    <w:lvl w:ilvl="3" w:tplc="341A2F5C">
      <w:start w:val="1"/>
      <w:numFmt w:val="decimal"/>
      <w:lvlText w:val="%4."/>
      <w:lvlJc w:val="left"/>
      <w:pPr>
        <w:ind w:left="2880" w:hanging="360"/>
      </w:pPr>
    </w:lvl>
    <w:lvl w:ilvl="4" w:tplc="69485A90">
      <w:start w:val="1"/>
      <w:numFmt w:val="lowerLetter"/>
      <w:lvlText w:val="%5."/>
      <w:lvlJc w:val="left"/>
      <w:pPr>
        <w:ind w:left="3600" w:hanging="360"/>
      </w:pPr>
    </w:lvl>
    <w:lvl w:ilvl="5" w:tplc="A1ACD462">
      <w:start w:val="1"/>
      <w:numFmt w:val="lowerRoman"/>
      <w:lvlText w:val="%6."/>
      <w:lvlJc w:val="right"/>
      <w:pPr>
        <w:ind w:left="4320" w:hanging="180"/>
      </w:pPr>
    </w:lvl>
    <w:lvl w:ilvl="6" w:tplc="4D54EA5E">
      <w:start w:val="1"/>
      <w:numFmt w:val="decimal"/>
      <w:lvlText w:val="%7."/>
      <w:lvlJc w:val="left"/>
      <w:pPr>
        <w:ind w:left="5040" w:hanging="360"/>
      </w:pPr>
    </w:lvl>
    <w:lvl w:ilvl="7" w:tplc="CC5A20D0">
      <w:start w:val="1"/>
      <w:numFmt w:val="lowerLetter"/>
      <w:lvlText w:val="%8."/>
      <w:lvlJc w:val="left"/>
      <w:pPr>
        <w:ind w:left="5760" w:hanging="360"/>
      </w:pPr>
    </w:lvl>
    <w:lvl w:ilvl="8" w:tplc="4CACB950">
      <w:start w:val="1"/>
      <w:numFmt w:val="lowerRoman"/>
      <w:lvlText w:val="%9."/>
      <w:lvlJc w:val="right"/>
      <w:pPr>
        <w:ind w:left="6480" w:hanging="180"/>
      </w:pPr>
    </w:lvl>
  </w:abstractNum>
  <w:abstractNum w:abstractNumId="13" w15:restartNumberingAfterBreak="0">
    <w:nsid w:val="7E97360F"/>
    <w:multiLevelType w:val="hybridMultilevel"/>
    <w:tmpl w:val="FFFFFFFF"/>
    <w:lvl w:ilvl="0" w:tplc="2458929C">
      <w:start w:val="1"/>
      <w:numFmt w:val="decimal"/>
      <w:lvlText w:val="%1."/>
      <w:lvlJc w:val="left"/>
      <w:pPr>
        <w:ind w:left="720" w:hanging="360"/>
      </w:pPr>
    </w:lvl>
    <w:lvl w:ilvl="1" w:tplc="0602B934">
      <w:start w:val="1"/>
      <w:numFmt w:val="lowerLetter"/>
      <w:lvlText w:val="%2."/>
      <w:lvlJc w:val="left"/>
      <w:pPr>
        <w:ind w:left="1440" w:hanging="360"/>
      </w:pPr>
    </w:lvl>
    <w:lvl w:ilvl="2" w:tplc="94201A5E">
      <w:start w:val="1"/>
      <w:numFmt w:val="lowerRoman"/>
      <w:lvlText w:val="%3."/>
      <w:lvlJc w:val="right"/>
      <w:pPr>
        <w:ind w:left="2160" w:hanging="180"/>
      </w:pPr>
    </w:lvl>
    <w:lvl w:ilvl="3" w:tplc="D3D0511E">
      <w:start w:val="1"/>
      <w:numFmt w:val="decimal"/>
      <w:lvlText w:val="%4."/>
      <w:lvlJc w:val="left"/>
      <w:pPr>
        <w:ind w:left="2880" w:hanging="360"/>
      </w:pPr>
    </w:lvl>
    <w:lvl w:ilvl="4" w:tplc="773813FC">
      <w:start w:val="1"/>
      <w:numFmt w:val="lowerLetter"/>
      <w:lvlText w:val="%5."/>
      <w:lvlJc w:val="left"/>
      <w:pPr>
        <w:ind w:left="3600" w:hanging="360"/>
      </w:pPr>
    </w:lvl>
    <w:lvl w:ilvl="5" w:tplc="145C7218">
      <w:start w:val="1"/>
      <w:numFmt w:val="lowerRoman"/>
      <w:lvlText w:val="%6."/>
      <w:lvlJc w:val="right"/>
      <w:pPr>
        <w:ind w:left="4320" w:hanging="180"/>
      </w:pPr>
    </w:lvl>
    <w:lvl w:ilvl="6" w:tplc="651AEFBA">
      <w:start w:val="1"/>
      <w:numFmt w:val="decimal"/>
      <w:lvlText w:val="%7."/>
      <w:lvlJc w:val="left"/>
      <w:pPr>
        <w:ind w:left="5040" w:hanging="360"/>
      </w:pPr>
    </w:lvl>
    <w:lvl w:ilvl="7" w:tplc="35C420D8">
      <w:start w:val="1"/>
      <w:numFmt w:val="lowerLetter"/>
      <w:lvlText w:val="%8."/>
      <w:lvlJc w:val="left"/>
      <w:pPr>
        <w:ind w:left="5760" w:hanging="360"/>
      </w:pPr>
    </w:lvl>
    <w:lvl w:ilvl="8" w:tplc="6972A65E">
      <w:start w:val="1"/>
      <w:numFmt w:val="lowerRoman"/>
      <w:lvlText w:val="%9."/>
      <w:lvlJc w:val="right"/>
      <w:pPr>
        <w:ind w:left="6480" w:hanging="180"/>
      </w:pPr>
    </w:lvl>
  </w:abstractNum>
  <w:num w:numId="1">
    <w:abstractNumId w:val="3"/>
  </w:num>
  <w:num w:numId="2">
    <w:abstractNumId w:val="12"/>
  </w:num>
  <w:num w:numId="3">
    <w:abstractNumId w:val="7"/>
  </w:num>
  <w:num w:numId="4">
    <w:abstractNumId w:val="11"/>
  </w:num>
  <w:num w:numId="5">
    <w:abstractNumId w:val="5"/>
  </w:num>
  <w:num w:numId="6">
    <w:abstractNumId w:val="4"/>
  </w:num>
  <w:num w:numId="7">
    <w:abstractNumId w:val="13"/>
  </w:num>
  <w:num w:numId="8">
    <w:abstractNumId w:val="1"/>
  </w:num>
  <w:num w:numId="9">
    <w:abstractNumId w:val="10"/>
  </w:num>
  <w:num w:numId="10">
    <w:abstractNumId w:val="6"/>
  </w:num>
  <w:num w:numId="11">
    <w:abstractNumId w:val="2"/>
  </w:num>
  <w:num w:numId="12">
    <w:abstractNumId w:val="8"/>
  </w:num>
  <w:num w:numId="13">
    <w:abstractNumId w:val="9"/>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2431"/>
    <w:rsid w:val="00014878"/>
    <w:rsid w:val="000165C6"/>
    <w:rsid w:val="0002582D"/>
    <w:rsid w:val="0002592E"/>
    <w:rsid w:val="00026B69"/>
    <w:rsid w:val="000272BD"/>
    <w:rsid w:val="00040074"/>
    <w:rsid w:val="00042FC3"/>
    <w:rsid w:val="0005086D"/>
    <w:rsid w:val="00051FFD"/>
    <w:rsid w:val="000520EE"/>
    <w:rsid w:val="000555C4"/>
    <w:rsid w:val="00056350"/>
    <w:rsid w:val="00060519"/>
    <w:rsid w:val="0006335B"/>
    <w:rsid w:val="00067584"/>
    <w:rsid w:val="00080E6E"/>
    <w:rsid w:val="00081511"/>
    <w:rsid w:val="00081D37"/>
    <w:rsid w:val="0008206D"/>
    <w:rsid w:val="0008257A"/>
    <w:rsid w:val="00082B4A"/>
    <w:rsid w:val="00082D50"/>
    <w:rsid w:val="00091FB1"/>
    <w:rsid w:val="000926B7"/>
    <w:rsid w:val="000931B2"/>
    <w:rsid w:val="000939F8"/>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69CE"/>
    <w:rsid w:val="001B5071"/>
    <w:rsid w:val="001B79F9"/>
    <w:rsid w:val="001C5CE8"/>
    <w:rsid w:val="001C673F"/>
    <w:rsid w:val="001C6774"/>
    <w:rsid w:val="001C6AF8"/>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1C32"/>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66152"/>
    <w:rsid w:val="00375BB9"/>
    <w:rsid w:val="003761A1"/>
    <w:rsid w:val="0037779A"/>
    <w:rsid w:val="003812A5"/>
    <w:rsid w:val="003817AE"/>
    <w:rsid w:val="003844B1"/>
    <w:rsid w:val="003852D3"/>
    <w:rsid w:val="00385AAC"/>
    <w:rsid w:val="0039019C"/>
    <w:rsid w:val="003A35A3"/>
    <w:rsid w:val="003B142E"/>
    <w:rsid w:val="003B591A"/>
    <w:rsid w:val="003B5EB1"/>
    <w:rsid w:val="003C7E0D"/>
    <w:rsid w:val="003D3945"/>
    <w:rsid w:val="003D5425"/>
    <w:rsid w:val="003D7274"/>
    <w:rsid w:val="003F0CDE"/>
    <w:rsid w:val="003F1899"/>
    <w:rsid w:val="003F32FF"/>
    <w:rsid w:val="003F7287"/>
    <w:rsid w:val="0040397C"/>
    <w:rsid w:val="00405F1C"/>
    <w:rsid w:val="00405FE8"/>
    <w:rsid w:val="00406D01"/>
    <w:rsid w:val="00412841"/>
    <w:rsid w:val="00415E36"/>
    <w:rsid w:val="00417AF9"/>
    <w:rsid w:val="00420B76"/>
    <w:rsid w:val="00420BEC"/>
    <w:rsid w:val="00426EB2"/>
    <w:rsid w:val="004323A8"/>
    <w:rsid w:val="0045283B"/>
    <w:rsid w:val="00454059"/>
    <w:rsid w:val="004568E8"/>
    <w:rsid w:val="00461E8C"/>
    <w:rsid w:val="0046226B"/>
    <w:rsid w:val="004669A0"/>
    <w:rsid w:val="00467723"/>
    <w:rsid w:val="00471C0B"/>
    <w:rsid w:val="004720D7"/>
    <w:rsid w:val="0047254C"/>
    <w:rsid w:val="004752D2"/>
    <w:rsid w:val="00483CFA"/>
    <w:rsid w:val="0048690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4511"/>
    <w:rsid w:val="004E6B74"/>
    <w:rsid w:val="004F0F7B"/>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2DF"/>
    <w:rsid w:val="006B4343"/>
    <w:rsid w:val="006B5C6F"/>
    <w:rsid w:val="006D33B9"/>
    <w:rsid w:val="006D4840"/>
    <w:rsid w:val="006D63EE"/>
    <w:rsid w:val="006D719E"/>
    <w:rsid w:val="006E45E9"/>
    <w:rsid w:val="006E4E1E"/>
    <w:rsid w:val="006E56EC"/>
    <w:rsid w:val="006E6C59"/>
    <w:rsid w:val="006F4B2F"/>
    <w:rsid w:val="007017F6"/>
    <w:rsid w:val="007131CD"/>
    <w:rsid w:val="00723DAB"/>
    <w:rsid w:val="00730770"/>
    <w:rsid w:val="00733313"/>
    <w:rsid w:val="00733F5C"/>
    <w:rsid w:val="00734FC5"/>
    <w:rsid w:val="0074146B"/>
    <w:rsid w:val="0074178B"/>
    <w:rsid w:val="00744589"/>
    <w:rsid w:val="00746A69"/>
    <w:rsid w:val="00753825"/>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D3893"/>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348F"/>
    <w:rsid w:val="00824864"/>
    <w:rsid w:val="00826B46"/>
    <w:rsid w:val="00827BB1"/>
    <w:rsid w:val="008312AD"/>
    <w:rsid w:val="00834702"/>
    <w:rsid w:val="00834F17"/>
    <w:rsid w:val="0084066B"/>
    <w:rsid w:val="00843761"/>
    <w:rsid w:val="00845398"/>
    <w:rsid w:val="00846A20"/>
    <w:rsid w:val="00847AF6"/>
    <w:rsid w:val="00854FBD"/>
    <w:rsid w:val="0085536B"/>
    <w:rsid w:val="00855E2D"/>
    <w:rsid w:val="00865F09"/>
    <w:rsid w:val="008706D9"/>
    <w:rsid w:val="008719A8"/>
    <w:rsid w:val="00872374"/>
    <w:rsid w:val="0087373F"/>
    <w:rsid w:val="00873BFE"/>
    <w:rsid w:val="00875C08"/>
    <w:rsid w:val="00876944"/>
    <w:rsid w:val="00883F77"/>
    <w:rsid w:val="008900A8"/>
    <w:rsid w:val="008905C1"/>
    <w:rsid w:val="008A7606"/>
    <w:rsid w:val="008B5948"/>
    <w:rsid w:val="008C350C"/>
    <w:rsid w:val="008C4765"/>
    <w:rsid w:val="008C4F7D"/>
    <w:rsid w:val="008C6F1D"/>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034F"/>
    <w:rsid w:val="009821D7"/>
    <w:rsid w:val="009839A7"/>
    <w:rsid w:val="00985109"/>
    <w:rsid w:val="009852EC"/>
    <w:rsid w:val="00987B3D"/>
    <w:rsid w:val="009B3C8F"/>
    <w:rsid w:val="009B5B7E"/>
    <w:rsid w:val="009B5E58"/>
    <w:rsid w:val="009B662C"/>
    <w:rsid w:val="009B6F24"/>
    <w:rsid w:val="009C046E"/>
    <w:rsid w:val="009C1D23"/>
    <w:rsid w:val="009C2174"/>
    <w:rsid w:val="009C547F"/>
    <w:rsid w:val="009D1077"/>
    <w:rsid w:val="009E13C9"/>
    <w:rsid w:val="009E2CF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41C0"/>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B470A"/>
    <w:rsid w:val="00AB612A"/>
    <w:rsid w:val="00AC1168"/>
    <w:rsid w:val="00AC4DF9"/>
    <w:rsid w:val="00AC7534"/>
    <w:rsid w:val="00AE3C3A"/>
    <w:rsid w:val="00AE65A9"/>
    <w:rsid w:val="00AE7FA9"/>
    <w:rsid w:val="00B066B3"/>
    <w:rsid w:val="00B07E3A"/>
    <w:rsid w:val="00B113B8"/>
    <w:rsid w:val="00B1197F"/>
    <w:rsid w:val="00B13015"/>
    <w:rsid w:val="00B13FD0"/>
    <w:rsid w:val="00B16DD9"/>
    <w:rsid w:val="00B22236"/>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0F9"/>
    <w:rsid w:val="00B670E2"/>
    <w:rsid w:val="00B70C80"/>
    <w:rsid w:val="00B76299"/>
    <w:rsid w:val="00B80744"/>
    <w:rsid w:val="00B84BCE"/>
    <w:rsid w:val="00B97F15"/>
    <w:rsid w:val="00BB2F44"/>
    <w:rsid w:val="00BB325E"/>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CF18FA"/>
    <w:rsid w:val="00D0334A"/>
    <w:rsid w:val="00D10820"/>
    <w:rsid w:val="00D2760E"/>
    <w:rsid w:val="00D31C74"/>
    <w:rsid w:val="00D32809"/>
    <w:rsid w:val="00D3613F"/>
    <w:rsid w:val="00D36DE3"/>
    <w:rsid w:val="00D37A32"/>
    <w:rsid w:val="00D4024A"/>
    <w:rsid w:val="00D43504"/>
    <w:rsid w:val="00D43E7F"/>
    <w:rsid w:val="00D442D8"/>
    <w:rsid w:val="00D45645"/>
    <w:rsid w:val="00D554D1"/>
    <w:rsid w:val="00D56213"/>
    <w:rsid w:val="00D70F13"/>
    <w:rsid w:val="00D734EA"/>
    <w:rsid w:val="00D75CC2"/>
    <w:rsid w:val="00D765A2"/>
    <w:rsid w:val="00D77908"/>
    <w:rsid w:val="00D829B0"/>
    <w:rsid w:val="00D86801"/>
    <w:rsid w:val="00D877F6"/>
    <w:rsid w:val="00DA098F"/>
    <w:rsid w:val="00DA3024"/>
    <w:rsid w:val="00DB41EA"/>
    <w:rsid w:val="00DB72EC"/>
    <w:rsid w:val="00DC0087"/>
    <w:rsid w:val="00DC7E8C"/>
    <w:rsid w:val="00DD05F2"/>
    <w:rsid w:val="00DD15D8"/>
    <w:rsid w:val="00DD24C5"/>
    <w:rsid w:val="00DD4630"/>
    <w:rsid w:val="00DE2FE5"/>
    <w:rsid w:val="00DF0336"/>
    <w:rsid w:val="00DF1BFF"/>
    <w:rsid w:val="00DF44A8"/>
    <w:rsid w:val="00DF45C9"/>
    <w:rsid w:val="00DF4C83"/>
    <w:rsid w:val="00DF4FF4"/>
    <w:rsid w:val="00DF6539"/>
    <w:rsid w:val="00DF794C"/>
    <w:rsid w:val="00E00E0B"/>
    <w:rsid w:val="00E0283F"/>
    <w:rsid w:val="00E0777C"/>
    <w:rsid w:val="00E07C29"/>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873BD"/>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9E1"/>
    <w:rsid w:val="00F05D86"/>
    <w:rsid w:val="00F063E1"/>
    <w:rsid w:val="00F1040A"/>
    <w:rsid w:val="00F12FF4"/>
    <w:rsid w:val="00F14033"/>
    <w:rsid w:val="00F156A1"/>
    <w:rsid w:val="00F156A4"/>
    <w:rsid w:val="00F157D8"/>
    <w:rsid w:val="00F21B87"/>
    <w:rsid w:val="00F22A1B"/>
    <w:rsid w:val="00F2728D"/>
    <w:rsid w:val="00F27D43"/>
    <w:rsid w:val="00F348F3"/>
    <w:rsid w:val="00F366FE"/>
    <w:rsid w:val="00F4115C"/>
    <w:rsid w:val="00F432E0"/>
    <w:rsid w:val="00F44AE4"/>
    <w:rsid w:val="00F462B6"/>
    <w:rsid w:val="00F47814"/>
    <w:rsid w:val="00F50737"/>
    <w:rsid w:val="00F5293F"/>
    <w:rsid w:val="00F52A7B"/>
    <w:rsid w:val="00F532DE"/>
    <w:rsid w:val="00F53B3A"/>
    <w:rsid w:val="00F60954"/>
    <w:rsid w:val="00F61FFD"/>
    <w:rsid w:val="00F63E2B"/>
    <w:rsid w:val="00F773DE"/>
    <w:rsid w:val="00F8369B"/>
    <w:rsid w:val="00F9093D"/>
    <w:rsid w:val="00F915AB"/>
    <w:rsid w:val="00F91A2D"/>
    <w:rsid w:val="00FA1ED5"/>
    <w:rsid w:val="00FA2080"/>
    <w:rsid w:val="00FA2152"/>
    <w:rsid w:val="00FA7A72"/>
    <w:rsid w:val="00FB4451"/>
    <w:rsid w:val="00FB4D96"/>
    <w:rsid w:val="00FB50A4"/>
    <w:rsid w:val="00FC1818"/>
    <w:rsid w:val="00FC26AC"/>
    <w:rsid w:val="00FC6600"/>
    <w:rsid w:val="00FC6F07"/>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3A1157D"/>
    <w:rsid w:val="2C52C484"/>
    <w:rsid w:val="2D2870C0"/>
    <w:rsid w:val="2E70CAC8"/>
    <w:rsid w:val="31798763"/>
    <w:rsid w:val="32171417"/>
    <w:rsid w:val="39BF1CF9"/>
    <w:rsid w:val="46C4AACB"/>
    <w:rsid w:val="4BADDCFA"/>
    <w:rsid w:val="565F7F22"/>
    <w:rsid w:val="6137F3EE"/>
    <w:rsid w:val="691D0B94"/>
    <w:rsid w:val="723C5004"/>
    <w:rsid w:val="7FE5C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character" w:styleId="UnresolvedMention">
    <w:name w:val="Unresolved Mention"/>
    <w:basedOn w:val="DefaultParagraphFont"/>
    <w:uiPriority w:val="99"/>
    <w:rsid w:val="00B9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mdm.com/resource/quickstart-guides/" TargetMode="Externa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64FF-547C-46FE-A622-64C7DEAE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55</cp:revision>
  <cp:lastPrinted>2016-01-15T10:22:00Z</cp:lastPrinted>
  <dcterms:created xsi:type="dcterms:W3CDTF">2020-02-28T09:17:00Z</dcterms:created>
  <dcterms:modified xsi:type="dcterms:W3CDTF">2020-02-28T09:17:00Z</dcterms:modified>
</cp:coreProperties>
</file>