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2010A" w:rsidR="005369E9" w:rsidP="15E5B87A" w:rsidRDefault="005369E9" w14:paraId="46263178" w14:textId="77777777" w14:noSpellErr="1">
      <w:pPr>
        <w:pStyle w:val="Heading1"/>
        <w:rPr>
          <w:b w:val="1"/>
          <w:bCs w:val="1"/>
          <w:color w:val="000000" w:themeColor="text1" w:themeTint="FF" w:themeShade="FF"/>
          <w:lang w:val="en-GB"/>
        </w:rPr>
      </w:pPr>
    </w:p>
    <w:p w:rsidR="15E5B87A" w:rsidP="15E5B87A" w:rsidRDefault="15E5B87A" w14:noSpellErr="1" w14:paraId="3CD4B209" w14:textId="1EBF27E3">
      <w:pPr>
        <w:pStyle w:val="Normal"/>
        <w:rPr>
          <w:lang w:val="en-GB"/>
        </w:rPr>
      </w:pPr>
    </w:p>
    <w:p w:rsidR="00166EAF" w:rsidP="37E820C9" w:rsidRDefault="37E820C9" w14:paraId="7B7DEBA5" w14:textId="2993D08C">
      <w:pPr>
        <w:pStyle w:val="Heading1"/>
        <w:rPr>
          <w:color w:val="auto"/>
          <w:lang w:val="en-GB"/>
        </w:rPr>
      </w:pPr>
      <w:bookmarkStart w:name="_Toc516663295" w:id="0"/>
      <w:r w:rsidRPr="37E820C9">
        <w:rPr>
          <w:color w:val="auto"/>
          <w:lang w:val="en-GB"/>
        </w:rPr>
        <w:t>Training – Normalisation Module</w:t>
      </w:r>
      <w:bookmarkEnd w:id="0"/>
      <w:r w:rsidRPr="37E820C9">
        <w:rPr>
          <w:color w:val="auto"/>
          <w:lang w:val="en-GB"/>
        </w:rPr>
        <w:t xml:space="preserve"> </w:t>
      </w:r>
    </w:p>
    <w:p w:rsidRPr="00D93A21" w:rsidR="00D93A21" w:rsidP="00D93A21" w:rsidRDefault="00D93A21" w14:paraId="3C811971" w14:textId="77777777">
      <w:pPr>
        <w:rPr>
          <w:lang w:val="en-GB"/>
        </w:rPr>
      </w:pPr>
    </w:p>
    <w:p w:rsidRPr="0012010A" w:rsidR="00B13FD0" w:rsidP="0067612D" w:rsidRDefault="008B5948" w14:paraId="3AFDCDB3" w14:textId="71E9F1F1">
      <w:pPr>
        <w:rPr>
          <w:lang w:val="en-GB"/>
        </w:rPr>
      </w:pPr>
      <w:r w:rsidRPr="0012010A">
        <w:rPr>
          <w:lang w:val="en-GB"/>
        </w:rPr>
        <w:t xml:space="preserve">Document </w:t>
      </w:r>
      <w:r w:rsidR="002F323C">
        <w:rPr>
          <w:lang w:val="en-GB"/>
        </w:rPr>
        <w:t>Version: v1.0</w:t>
      </w:r>
    </w:p>
    <w:p w:rsidRPr="0012010A" w:rsidR="0067612D" w:rsidP="37E820C9" w:rsidRDefault="37E820C9" w14:paraId="6C95F4AA" w14:textId="029375EF">
      <w:pPr>
        <w:rPr>
          <w:lang w:val="en-GB"/>
        </w:rPr>
      </w:pPr>
      <w:r w:rsidRPr="37E820C9">
        <w:rPr>
          <w:lang w:val="en-GB"/>
        </w:rPr>
        <w:t>Date: 12</w:t>
      </w:r>
      <w:r w:rsidRPr="37E820C9">
        <w:rPr>
          <w:vertAlign w:val="superscript"/>
          <w:lang w:val="en-GB"/>
        </w:rPr>
        <w:t>th</w:t>
      </w:r>
      <w:r w:rsidRPr="37E820C9">
        <w:rPr>
          <w:lang w:val="en-GB"/>
        </w:rPr>
        <w:t xml:space="preserve"> June 2018</w:t>
      </w:r>
    </w:p>
    <w:p w:rsidRPr="0012010A" w:rsidR="0067612D" w:rsidP="00163A4A" w:rsidRDefault="0067612D" w14:paraId="2FD30807" w14:textId="77777777">
      <w:pPr>
        <w:rPr>
          <w:color w:val="000000" w:themeColor="text1"/>
          <w:lang w:val="en-GB"/>
        </w:rPr>
      </w:pPr>
    </w:p>
    <w:p w:rsidRPr="0012010A" w:rsidR="00316F55" w:rsidP="00163A4A" w:rsidRDefault="00316F55" w14:paraId="4BB264DE" w14:textId="77777777">
      <w:pPr>
        <w:rPr>
          <w:color w:val="000000" w:themeColor="text1"/>
          <w:lang w:val="en-GB"/>
        </w:rPr>
      </w:pPr>
    </w:p>
    <w:tbl>
      <w:tblPr>
        <w:tblStyle w:val="TableGrid"/>
        <w:tblW w:w="0" w:type="auto"/>
        <w:tblBorders>
          <w:top w:val="single" w:color="C0E4DF" w:sz="4" w:space="0"/>
          <w:left w:val="single" w:color="C0E4DF" w:sz="4" w:space="0"/>
          <w:bottom w:val="single" w:color="C0E4DF" w:sz="4" w:space="0"/>
          <w:right w:val="single" w:color="C0E4DF" w:sz="4" w:space="0"/>
          <w:insideH w:val="none" w:color="auto" w:sz="0" w:space="0"/>
          <w:insideV w:val="none" w:color="auto" w:sz="0" w:space="0"/>
        </w:tblBorders>
        <w:shd w:val="clear" w:color="auto" w:fill="C0E4DF"/>
        <w:tblLook w:val="04A0" w:firstRow="1" w:lastRow="0" w:firstColumn="1" w:lastColumn="0" w:noHBand="0" w:noVBand="1"/>
      </w:tblPr>
      <w:tblGrid>
        <w:gridCol w:w="9010"/>
      </w:tblGrid>
      <w:tr w:rsidRPr="0012010A" w:rsidR="00AA6B5C" w:rsidTr="37E820C9" w14:paraId="090F6C37" w14:textId="77777777">
        <w:trPr>
          <w:trHeight w:val="950"/>
        </w:trPr>
        <w:tc>
          <w:tcPr>
            <w:tcW w:w="9010" w:type="dxa"/>
            <w:shd w:val="clear" w:color="auto" w:fill="C0E4DF"/>
          </w:tcPr>
          <w:p w:rsidRPr="0012010A" w:rsidR="00A86B25" w:rsidP="37E820C9" w:rsidRDefault="37E820C9" w14:paraId="010DCA1D" w14:textId="2DC98A8D">
            <w:pPr>
              <w:jc w:val="both"/>
              <w:rPr>
                <w:rFonts w:ascii="Calibri,Times New Roman" w:hAnsi="Calibri,Times New Roman" w:eastAsia="Calibri,Times New Roman" w:cs="Calibri,Times New Roman"/>
                <w:lang w:val="en-GB"/>
              </w:rPr>
            </w:pPr>
            <w:r w:rsidRPr="37E820C9">
              <w:rPr>
                <w:rFonts w:ascii="Calibri" w:hAnsi="Calibri" w:eastAsia="Calibri" w:cs="Calibri"/>
                <w:lang w:val="en-GB"/>
              </w:rPr>
              <w:t xml:space="preserve">This document provides initial training on the Normalisation function within </w:t>
            </w:r>
            <w:proofErr w:type="spellStart"/>
            <w:proofErr w:type="gramStart"/>
            <w:r w:rsidRPr="37E820C9">
              <w:rPr>
                <w:rFonts w:ascii="Calibri" w:hAnsi="Calibri" w:eastAsia="Calibri" w:cs="Calibri"/>
                <w:lang w:val="en-GB"/>
              </w:rPr>
              <w:t>clearMDM</w:t>
            </w:r>
            <w:proofErr w:type="spellEnd"/>
            <w:r w:rsidRPr="37E820C9">
              <w:rPr>
                <w:rFonts w:ascii="Calibri" w:hAnsi="Calibri" w:eastAsia="Calibri" w:cs="Calibri"/>
                <w:lang w:val="en-GB"/>
              </w:rPr>
              <w:t xml:space="preserve"> .This</w:t>
            </w:r>
            <w:proofErr w:type="gramEnd"/>
            <w:r w:rsidRPr="37E820C9">
              <w:rPr>
                <w:rFonts w:ascii="Calibri" w:hAnsi="Calibri" w:eastAsia="Calibri" w:cs="Calibri"/>
                <w:lang w:val="en-GB"/>
              </w:rPr>
              <w:t xml:space="preserve"> document does not go into technical detail and is intended to compliment other </w:t>
            </w:r>
            <w:proofErr w:type="spellStart"/>
            <w:r w:rsidRPr="37E820C9">
              <w:rPr>
                <w:rFonts w:ascii="Calibri" w:hAnsi="Calibri" w:eastAsia="Calibri" w:cs="Calibri"/>
                <w:lang w:val="en-GB"/>
              </w:rPr>
              <w:t>clearMDM</w:t>
            </w:r>
            <w:proofErr w:type="spellEnd"/>
            <w:r w:rsidRPr="37E820C9">
              <w:rPr>
                <w:rFonts w:ascii="Calibri" w:hAnsi="Calibri" w:eastAsia="Calibri" w:cs="Calibri"/>
                <w:lang w:val="en-GB"/>
              </w:rPr>
              <w:t xml:space="preserve"> training modules. </w:t>
            </w:r>
            <w:r w:rsidR="001A5AAF">
              <w:rPr>
                <w:rFonts w:ascii="Calibri" w:hAnsi="Calibri" w:eastAsia="Calibri" w:cs="Calibri"/>
                <w:lang w:val="en-GB"/>
              </w:rPr>
              <w:t xml:space="preserve">Existing experience of </w:t>
            </w:r>
            <w:proofErr w:type="spellStart"/>
            <w:r w:rsidR="001A5AAF">
              <w:rPr>
                <w:rFonts w:ascii="Calibri" w:hAnsi="Calibri" w:eastAsia="Calibri" w:cs="Calibri"/>
                <w:lang w:val="en-GB"/>
              </w:rPr>
              <w:t>clearMDM</w:t>
            </w:r>
            <w:proofErr w:type="spellEnd"/>
            <w:r w:rsidR="001A5AAF">
              <w:rPr>
                <w:rFonts w:ascii="Calibri" w:hAnsi="Calibri" w:eastAsia="Calibri" w:cs="Calibri"/>
                <w:lang w:val="en-GB"/>
              </w:rPr>
              <w:t xml:space="preserve"> is not required.</w:t>
            </w:r>
          </w:p>
        </w:tc>
      </w:tr>
    </w:tbl>
    <w:p w:rsidRPr="0012010A" w:rsidR="00AA6B5C" w:rsidP="00163A4A" w:rsidRDefault="00AA6B5C" w14:paraId="098AA4DE" w14:textId="77777777">
      <w:pPr>
        <w:rPr>
          <w:color w:val="000000" w:themeColor="text1"/>
          <w:lang w:val="en-GB"/>
        </w:rPr>
      </w:pPr>
    </w:p>
    <w:p w:rsidRPr="0012010A" w:rsidR="00316F55" w:rsidP="00163A4A" w:rsidRDefault="00316F55" w14:paraId="15D47DCE" w14:textId="77777777">
      <w:pPr>
        <w:rPr>
          <w:color w:val="000000" w:themeColor="text1"/>
          <w:lang w:val="en-GB"/>
        </w:rPr>
      </w:pPr>
    </w:p>
    <w:p w:rsidRPr="0012010A" w:rsidR="00316F55" w:rsidP="00163A4A" w:rsidRDefault="00316F55" w14:paraId="39F42F82" w14:textId="77777777">
      <w:pPr>
        <w:rPr>
          <w:color w:val="000000" w:themeColor="text1"/>
          <w:lang w:val="en-GB"/>
        </w:rPr>
      </w:pPr>
    </w:p>
    <w:sdt>
      <w:sdtPr>
        <w:rPr>
          <w:rFonts w:asciiTheme="minorHAnsi" w:hAnsiTheme="minorHAnsi" w:eastAsia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rsidRPr="0012010A" w:rsidR="005369E9" w:rsidRDefault="005369E9" w14:paraId="60495106" w14:textId="426B27B3">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rsidR="00FC7098" w:rsidRDefault="005369E9" w14:paraId="1522141C" w14:textId="2CD8B931">
          <w:pPr>
            <w:pStyle w:val="TOC1"/>
            <w:tabs>
              <w:tab w:val="right" w:leader="dot" w:pos="9010"/>
            </w:tabs>
            <w:rPr>
              <w:rFonts w:eastAsiaTheme="minorEastAsia"/>
              <w:b w:val="0"/>
              <w:noProof/>
              <w:sz w:val="22"/>
              <w:szCs w:val="22"/>
              <w:lang w:val="en-GB" w:eastAsia="en-GB"/>
            </w:rPr>
          </w:pPr>
          <w:r w:rsidRPr="28B4CB1A">
            <w:rPr>
              <w:b w:val="0"/>
              <w:color w:val="000000" w:themeColor="text1"/>
              <w:lang w:val="en-GB"/>
            </w:rPr>
            <w:fldChar w:fldCharType="begin"/>
          </w:r>
          <w:r w:rsidRPr="0012010A">
            <w:rPr>
              <w:b w:val="0"/>
              <w:color w:val="000000" w:themeColor="text1"/>
              <w:lang w:val="en-GB"/>
            </w:rPr>
            <w:instrText xml:space="preserve"> TOC \o "1-3" \h \z \u </w:instrText>
          </w:r>
          <w:r w:rsidRPr="28B4CB1A">
            <w:rPr>
              <w:b w:val="0"/>
              <w:color w:val="000000" w:themeColor="text1"/>
              <w:lang w:val="en-GB"/>
            </w:rPr>
            <w:fldChar w:fldCharType="separate"/>
          </w:r>
          <w:hyperlink w:history="1" w:anchor="_Toc516663295">
            <w:r w:rsidRPr="00EE1D48" w:rsidR="00FC7098">
              <w:rPr>
                <w:rStyle w:val="Hyperlink"/>
                <w:noProof/>
                <w:lang w:val="en-GB"/>
              </w:rPr>
              <w:t>Training – Normalisation Module</w:t>
            </w:r>
            <w:r w:rsidR="00FC7098">
              <w:rPr>
                <w:noProof/>
                <w:webHidden/>
              </w:rPr>
              <w:tab/>
            </w:r>
            <w:r w:rsidR="00FC7098">
              <w:rPr>
                <w:noProof/>
                <w:webHidden/>
              </w:rPr>
              <w:fldChar w:fldCharType="begin"/>
            </w:r>
            <w:r w:rsidR="00FC7098">
              <w:rPr>
                <w:noProof/>
                <w:webHidden/>
              </w:rPr>
              <w:instrText xml:space="preserve"> PAGEREF _Toc516663295 \h </w:instrText>
            </w:r>
            <w:r w:rsidR="00FC7098">
              <w:rPr>
                <w:noProof/>
                <w:webHidden/>
              </w:rPr>
            </w:r>
            <w:r w:rsidR="00FC7098">
              <w:rPr>
                <w:noProof/>
                <w:webHidden/>
              </w:rPr>
              <w:fldChar w:fldCharType="separate"/>
            </w:r>
            <w:r w:rsidR="00FC7098">
              <w:rPr>
                <w:noProof/>
                <w:webHidden/>
              </w:rPr>
              <w:t>1</w:t>
            </w:r>
            <w:r w:rsidR="00FC7098">
              <w:rPr>
                <w:noProof/>
                <w:webHidden/>
              </w:rPr>
              <w:fldChar w:fldCharType="end"/>
            </w:r>
          </w:hyperlink>
        </w:p>
        <w:p w:rsidR="00FC7098" w:rsidRDefault="00FC7098" w14:paraId="576A28F9" w14:textId="28F5E4FE">
          <w:pPr>
            <w:pStyle w:val="TOC1"/>
            <w:tabs>
              <w:tab w:val="right" w:leader="dot" w:pos="9010"/>
            </w:tabs>
            <w:rPr>
              <w:rFonts w:eastAsiaTheme="minorEastAsia"/>
              <w:b w:val="0"/>
              <w:noProof/>
              <w:sz w:val="22"/>
              <w:szCs w:val="22"/>
              <w:lang w:val="en-GB" w:eastAsia="en-GB"/>
            </w:rPr>
          </w:pPr>
          <w:hyperlink w:history="1" w:anchor="_Toc516663296">
            <w:r w:rsidRPr="00EE1D48">
              <w:rPr>
                <w:rStyle w:val="Hyperlink"/>
                <w:noProof/>
                <w:lang w:val="en-GB"/>
              </w:rPr>
              <w:t>Normalisation Introduction</w:t>
            </w:r>
            <w:r>
              <w:rPr>
                <w:noProof/>
                <w:webHidden/>
              </w:rPr>
              <w:tab/>
            </w:r>
            <w:r>
              <w:rPr>
                <w:noProof/>
                <w:webHidden/>
              </w:rPr>
              <w:fldChar w:fldCharType="begin"/>
            </w:r>
            <w:r>
              <w:rPr>
                <w:noProof/>
                <w:webHidden/>
              </w:rPr>
              <w:instrText xml:space="preserve"> PAGEREF _Toc516663296 \h </w:instrText>
            </w:r>
            <w:r>
              <w:rPr>
                <w:noProof/>
                <w:webHidden/>
              </w:rPr>
            </w:r>
            <w:r>
              <w:rPr>
                <w:noProof/>
                <w:webHidden/>
              </w:rPr>
              <w:fldChar w:fldCharType="separate"/>
            </w:r>
            <w:r>
              <w:rPr>
                <w:noProof/>
                <w:webHidden/>
              </w:rPr>
              <w:t>1</w:t>
            </w:r>
            <w:r>
              <w:rPr>
                <w:noProof/>
                <w:webHidden/>
              </w:rPr>
              <w:fldChar w:fldCharType="end"/>
            </w:r>
          </w:hyperlink>
        </w:p>
        <w:p w:rsidR="00FC7098" w:rsidRDefault="00FC7098" w14:paraId="1EB2B825" w14:textId="4DEC3403">
          <w:pPr>
            <w:pStyle w:val="TOC2"/>
            <w:tabs>
              <w:tab w:val="right" w:leader="dot" w:pos="9010"/>
            </w:tabs>
            <w:rPr>
              <w:rFonts w:eastAsiaTheme="minorEastAsia"/>
              <w:b w:val="0"/>
              <w:noProof/>
              <w:lang w:val="en-GB" w:eastAsia="en-GB"/>
            </w:rPr>
          </w:pPr>
          <w:hyperlink w:history="1" w:anchor="_Toc516663297">
            <w:r w:rsidRPr="00EE1D48">
              <w:rPr>
                <w:rStyle w:val="Hyperlink"/>
                <w:noProof/>
                <w:lang w:val="en-GB"/>
              </w:rPr>
              <w:t>Step 1 – Standardising the fields</w:t>
            </w:r>
            <w:r>
              <w:rPr>
                <w:noProof/>
                <w:webHidden/>
              </w:rPr>
              <w:tab/>
            </w:r>
            <w:r>
              <w:rPr>
                <w:noProof/>
                <w:webHidden/>
              </w:rPr>
              <w:fldChar w:fldCharType="begin"/>
            </w:r>
            <w:r>
              <w:rPr>
                <w:noProof/>
                <w:webHidden/>
              </w:rPr>
              <w:instrText xml:space="preserve"> PAGEREF _Toc516663297 \h </w:instrText>
            </w:r>
            <w:r>
              <w:rPr>
                <w:noProof/>
                <w:webHidden/>
              </w:rPr>
            </w:r>
            <w:r>
              <w:rPr>
                <w:noProof/>
                <w:webHidden/>
              </w:rPr>
              <w:fldChar w:fldCharType="separate"/>
            </w:r>
            <w:r>
              <w:rPr>
                <w:noProof/>
                <w:webHidden/>
              </w:rPr>
              <w:t>2</w:t>
            </w:r>
            <w:r>
              <w:rPr>
                <w:noProof/>
                <w:webHidden/>
              </w:rPr>
              <w:fldChar w:fldCharType="end"/>
            </w:r>
          </w:hyperlink>
        </w:p>
        <w:p w:rsidR="00FC7098" w:rsidRDefault="00FC7098" w14:paraId="494F1532" w14:textId="40424FFC">
          <w:pPr>
            <w:pStyle w:val="TOC2"/>
            <w:tabs>
              <w:tab w:val="right" w:leader="dot" w:pos="9010"/>
            </w:tabs>
            <w:rPr>
              <w:rFonts w:eastAsiaTheme="minorEastAsia"/>
              <w:b w:val="0"/>
              <w:noProof/>
              <w:lang w:val="en-GB" w:eastAsia="en-GB"/>
            </w:rPr>
          </w:pPr>
          <w:hyperlink w:history="1" w:anchor="_Toc516663298">
            <w:r w:rsidRPr="00EE1D48">
              <w:rPr>
                <w:rStyle w:val="Hyperlink"/>
                <w:bCs/>
                <w:noProof/>
                <w:lang w:val="en-GB"/>
              </w:rPr>
              <w:t>Normalisation Rules</w:t>
            </w:r>
            <w:r>
              <w:rPr>
                <w:noProof/>
                <w:webHidden/>
              </w:rPr>
              <w:tab/>
            </w:r>
            <w:r>
              <w:rPr>
                <w:noProof/>
                <w:webHidden/>
              </w:rPr>
              <w:fldChar w:fldCharType="begin"/>
            </w:r>
            <w:r>
              <w:rPr>
                <w:noProof/>
                <w:webHidden/>
              </w:rPr>
              <w:instrText xml:space="preserve"> PAGEREF _Toc516663298 \h </w:instrText>
            </w:r>
            <w:r>
              <w:rPr>
                <w:noProof/>
                <w:webHidden/>
              </w:rPr>
            </w:r>
            <w:r>
              <w:rPr>
                <w:noProof/>
                <w:webHidden/>
              </w:rPr>
              <w:fldChar w:fldCharType="separate"/>
            </w:r>
            <w:r>
              <w:rPr>
                <w:noProof/>
                <w:webHidden/>
              </w:rPr>
              <w:t>2</w:t>
            </w:r>
            <w:r>
              <w:rPr>
                <w:noProof/>
                <w:webHidden/>
              </w:rPr>
              <w:fldChar w:fldCharType="end"/>
            </w:r>
          </w:hyperlink>
        </w:p>
        <w:p w:rsidR="00FC7098" w:rsidRDefault="00FC7098" w14:paraId="79ECEA04" w14:textId="79C600C0">
          <w:pPr>
            <w:pStyle w:val="TOC2"/>
            <w:tabs>
              <w:tab w:val="right" w:leader="dot" w:pos="9010"/>
            </w:tabs>
            <w:rPr>
              <w:rFonts w:eastAsiaTheme="minorEastAsia"/>
              <w:b w:val="0"/>
              <w:noProof/>
              <w:lang w:val="en-GB" w:eastAsia="en-GB"/>
            </w:rPr>
          </w:pPr>
          <w:hyperlink w:history="1" w:anchor="_Toc516663299">
            <w:r w:rsidRPr="00EE1D48">
              <w:rPr>
                <w:rStyle w:val="Hyperlink"/>
                <w:bCs/>
                <w:noProof/>
                <w:lang w:val="en-GB"/>
              </w:rPr>
              <w:t>Step 2 – Setting the rules up in clearMDM</w:t>
            </w:r>
            <w:r>
              <w:rPr>
                <w:noProof/>
                <w:webHidden/>
              </w:rPr>
              <w:tab/>
            </w:r>
            <w:r>
              <w:rPr>
                <w:noProof/>
                <w:webHidden/>
              </w:rPr>
              <w:fldChar w:fldCharType="begin"/>
            </w:r>
            <w:r>
              <w:rPr>
                <w:noProof/>
                <w:webHidden/>
              </w:rPr>
              <w:instrText xml:space="preserve"> PAGEREF _Toc516663299 \h </w:instrText>
            </w:r>
            <w:r>
              <w:rPr>
                <w:noProof/>
                <w:webHidden/>
              </w:rPr>
            </w:r>
            <w:r>
              <w:rPr>
                <w:noProof/>
                <w:webHidden/>
              </w:rPr>
              <w:fldChar w:fldCharType="separate"/>
            </w:r>
            <w:r>
              <w:rPr>
                <w:noProof/>
                <w:webHidden/>
              </w:rPr>
              <w:t>4</w:t>
            </w:r>
            <w:r>
              <w:rPr>
                <w:noProof/>
                <w:webHidden/>
              </w:rPr>
              <w:fldChar w:fldCharType="end"/>
            </w:r>
          </w:hyperlink>
        </w:p>
        <w:p w:rsidR="00FC7098" w:rsidRDefault="00FC7098" w14:paraId="10DA86E7" w14:textId="121C78AE">
          <w:pPr>
            <w:pStyle w:val="TOC2"/>
            <w:tabs>
              <w:tab w:val="right" w:leader="dot" w:pos="9010"/>
            </w:tabs>
            <w:rPr>
              <w:rFonts w:eastAsiaTheme="minorEastAsia"/>
              <w:b w:val="0"/>
              <w:noProof/>
              <w:lang w:val="en-GB" w:eastAsia="en-GB"/>
            </w:rPr>
          </w:pPr>
          <w:hyperlink w:history="1" w:anchor="_Toc516663300">
            <w:r w:rsidRPr="00EE1D48">
              <w:rPr>
                <w:rStyle w:val="Hyperlink"/>
                <w:bCs/>
                <w:noProof/>
                <w:lang w:val="en-GB"/>
              </w:rPr>
              <w:t>Step 3 – Blocking Key</w:t>
            </w:r>
            <w:r>
              <w:rPr>
                <w:noProof/>
                <w:webHidden/>
              </w:rPr>
              <w:tab/>
            </w:r>
            <w:r>
              <w:rPr>
                <w:noProof/>
                <w:webHidden/>
              </w:rPr>
              <w:fldChar w:fldCharType="begin"/>
            </w:r>
            <w:r>
              <w:rPr>
                <w:noProof/>
                <w:webHidden/>
              </w:rPr>
              <w:instrText xml:space="preserve"> PAGEREF _Toc516663300 \h </w:instrText>
            </w:r>
            <w:r>
              <w:rPr>
                <w:noProof/>
                <w:webHidden/>
              </w:rPr>
            </w:r>
            <w:r>
              <w:rPr>
                <w:noProof/>
                <w:webHidden/>
              </w:rPr>
              <w:fldChar w:fldCharType="separate"/>
            </w:r>
            <w:r>
              <w:rPr>
                <w:noProof/>
                <w:webHidden/>
              </w:rPr>
              <w:t>5</w:t>
            </w:r>
            <w:r>
              <w:rPr>
                <w:noProof/>
                <w:webHidden/>
              </w:rPr>
              <w:fldChar w:fldCharType="end"/>
            </w:r>
          </w:hyperlink>
        </w:p>
        <w:p w:rsidRPr="0012010A" w:rsidR="005369E9" w:rsidP="005369E9" w:rsidRDefault="005369E9" w14:paraId="7F64A342" w14:textId="27C3946E">
          <w:pPr>
            <w:rPr>
              <w:lang w:val="en-GB"/>
            </w:rPr>
          </w:pPr>
          <w:r w:rsidRPr="28B4CB1A">
            <w:fldChar w:fldCharType="end"/>
          </w:r>
        </w:p>
      </w:sdtContent>
    </w:sdt>
    <w:p w:rsidRPr="00046470" w:rsidR="00EB7FA4" w:rsidP="28B4CB1A" w:rsidRDefault="00EB7FA4" w14:paraId="61F45AAC" w14:textId="0C1F801B">
      <w:pPr>
        <w:rPr>
          <w:b/>
          <w:bCs/>
          <w:sz w:val="28"/>
          <w:szCs w:val="28"/>
          <w:lang w:val="en-GB"/>
        </w:rPr>
      </w:pPr>
    </w:p>
    <w:p w:rsidRPr="00046470" w:rsidR="00EB7FA4" w:rsidP="28B4CB1A" w:rsidRDefault="00EB7FA4" w14:paraId="32F917CC" w14:textId="71BA3EFC">
      <w:pPr>
        <w:rPr>
          <w:b/>
          <w:bCs/>
          <w:sz w:val="28"/>
          <w:szCs w:val="28"/>
          <w:lang w:val="en-GB"/>
        </w:rPr>
      </w:pPr>
    </w:p>
    <w:p w:rsidRPr="00046470" w:rsidR="00EB7FA4" w:rsidP="28B4CB1A" w:rsidRDefault="00EB7FA4" w14:paraId="6C1E6E7F" w14:textId="7E1ED0D3">
      <w:pPr>
        <w:rPr>
          <w:b/>
          <w:bCs/>
          <w:sz w:val="28"/>
          <w:szCs w:val="28"/>
          <w:lang w:val="en-GB"/>
        </w:rPr>
      </w:pPr>
    </w:p>
    <w:p w:rsidRPr="00046470" w:rsidR="00EB7FA4" w:rsidP="28B4CB1A" w:rsidRDefault="00EB7FA4" w14:paraId="4A043286" w14:textId="34F89F4E">
      <w:pPr>
        <w:rPr>
          <w:b/>
          <w:bCs/>
          <w:sz w:val="28"/>
          <w:szCs w:val="28"/>
          <w:lang w:val="en-GB"/>
        </w:rPr>
      </w:pPr>
    </w:p>
    <w:p w:rsidRPr="00046470" w:rsidR="00EB7FA4" w:rsidP="28B4CB1A" w:rsidRDefault="00EB7FA4" w14:paraId="0070D094" w14:textId="164306CA">
      <w:pPr>
        <w:rPr>
          <w:b/>
          <w:bCs/>
          <w:sz w:val="28"/>
          <w:szCs w:val="28"/>
          <w:lang w:val="en-GB"/>
        </w:rPr>
      </w:pPr>
    </w:p>
    <w:p w:rsidRPr="00046470" w:rsidR="00EB7FA4" w:rsidP="28B4CB1A" w:rsidRDefault="00EB7FA4" w14:paraId="27344B21" w14:textId="0017297A">
      <w:pPr>
        <w:rPr>
          <w:b/>
          <w:bCs/>
          <w:sz w:val="28"/>
          <w:szCs w:val="28"/>
          <w:lang w:val="en-GB"/>
        </w:rPr>
      </w:pPr>
    </w:p>
    <w:p w:rsidRPr="00046470" w:rsidR="00EB7FA4" w:rsidP="28B4CB1A" w:rsidRDefault="00EB7FA4" w14:paraId="5F917C3F" w14:textId="0E796954">
      <w:pPr>
        <w:rPr>
          <w:b/>
          <w:bCs/>
          <w:sz w:val="28"/>
          <w:szCs w:val="28"/>
          <w:lang w:val="en-GB"/>
        </w:rPr>
      </w:pPr>
    </w:p>
    <w:p w:rsidRPr="00046470" w:rsidR="00EB7FA4" w:rsidP="28B4CB1A" w:rsidRDefault="00EB7FA4" w14:paraId="7F4800DA" w14:textId="02CF0832">
      <w:pPr>
        <w:rPr>
          <w:b/>
          <w:bCs/>
          <w:sz w:val="28"/>
          <w:szCs w:val="28"/>
          <w:lang w:val="en-GB"/>
        </w:rPr>
      </w:pPr>
    </w:p>
    <w:p w:rsidRPr="00046470" w:rsidR="00EB7FA4" w:rsidP="28B4CB1A" w:rsidRDefault="00EB7FA4" w14:paraId="11AB08B4" w14:textId="0048EC79">
      <w:pPr>
        <w:rPr>
          <w:b/>
          <w:bCs/>
          <w:sz w:val="28"/>
          <w:szCs w:val="28"/>
          <w:lang w:val="en-GB"/>
        </w:rPr>
      </w:pPr>
    </w:p>
    <w:p w:rsidRPr="00046470" w:rsidR="00EB7FA4" w:rsidP="28B4CB1A" w:rsidRDefault="00EB7FA4" w14:paraId="026DFB6B" w14:textId="30AD9162">
      <w:pPr>
        <w:rPr>
          <w:b/>
          <w:bCs/>
          <w:sz w:val="28"/>
          <w:szCs w:val="28"/>
          <w:lang w:val="en-GB"/>
        </w:rPr>
      </w:pPr>
    </w:p>
    <w:p w:rsidR="00EB7FA4" w:rsidP="28B4CB1A" w:rsidRDefault="00EB7FA4" w14:paraId="2F618823" w14:textId="6D25B478">
      <w:pPr>
        <w:rPr>
          <w:b/>
          <w:bCs/>
          <w:sz w:val="28"/>
          <w:szCs w:val="28"/>
          <w:lang w:val="en-GB"/>
        </w:rPr>
      </w:pPr>
    </w:p>
    <w:p w:rsidRPr="00046470" w:rsidR="00754E66" w:rsidP="28B4CB1A" w:rsidRDefault="00754E66" w14:paraId="5A894A97" w14:textId="77777777">
      <w:pPr>
        <w:rPr>
          <w:b/>
          <w:bCs/>
          <w:sz w:val="28"/>
          <w:szCs w:val="28"/>
          <w:lang w:val="en-GB"/>
        </w:rPr>
      </w:pPr>
    </w:p>
    <w:p w:rsidRPr="00046470" w:rsidR="00EB7FA4" w:rsidP="28B4CB1A" w:rsidRDefault="00EB7FA4" w14:paraId="529DFB12" w14:textId="69D9F9A3">
      <w:pPr>
        <w:rPr>
          <w:b/>
          <w:bCs/>
          <w:sz w:val="28"/>
          <w:szCs w:val="28"/>
          <w:lang w:val="en-GB"/>
        </w:rPr>
      </w:pPr>
    </w:p>
    <w:p w:rsidRPr="00046470" w:rsidR="00EB7FA4" w:rsidP="28B4CB1A" w:rsidRDefault="00EB7FA4" w14:paraId="5B051189" w14:textId="5097C57C">
      <w:pPr>
        <w:rPr>
          <w:b/>
          <w:bCs/>
          <w:sz w:val="28"/>
          <w:szCs w:val="28"/>
          <w:lang w:val="en-GB"/>
        </w:rPr>
      </w:pPr>
    </w:p>
    <w:p w:rsidRPr="00046470" w:rsidR="00EB7FA4" w:rsidP="28B4CB1A" w:rsidRDefault="00EB7FA4" w14:paraId="692EED60" w14:textId="4F3A6538">
      <w:pPr>
        <w:rPr>
          <w:b/>
          <w:bCs/>
          <w:sz w:val="28"/>
          <w:szCs w:val="28"/>
          <w:lang w:val="en-GB"/>
        </w:rPr>
      </w:pPr>
    </w:p>
    <w:p w:rsidRPr="00046470" w:rsidR="00EB7FA4" w:rsidP="28B4CB1A" w:rsidRDefault="00EB7FA4" w14:paraId="67B5B6E8" w14:textId="5A60BFDD">
      <w:pPr>
        <w:rPr>
          <w:b/>
          <w:bCs/>
          <w:sz w:val="28"/>
          <w:szCs w:val="28"/>
          <w:lang w:val="en-GB"/>
        </w:rPr>
      </w:pPr>
    </w:p>
    <w:p w:rsidRPr="001A5AAF" w:rsidR="00EB7FA4" w:rsidP="001A5AAF" w:rsidRDefault="28B4CB1A" w14:paraId="0BB55016" w14:textId="029B34B4">
      <w:pPr>
        <w:pStyle w:val="Heading1"/>
        <w:rPr>
          <w:b/>
          <w:color w:val="auto"/>
          <w:lang w:val="en-GB"/>
        </w:rPr>
      </w:pPr>
      <w:bookmarkStart w:name="_Toc516663296" w:id="1"/>
      <w:r w:rsidRPr="001A5AAF">
        <w:rPr>
          <w:b/>
          <w:color w:val="auto"/>
          <w:lang w:val="en-GB"/>
        </w:rPr>
        <w:lastRenderedPageBreak/>
        <w:t>Normalisation Introduction</w:t>
      </w:r>
      <w:bookmarkEnd w:id="1"/>
    </w:p>
    <w:p w:rsidRPr="0012010A" w:rsidR="00EB7FA4" w:rsidP="28B4CB1A" w:rsidRDefault="00EB7FA4" w14:paraId="6D18FB17" w14:textId="77777777">
      <w:pPr>
        <w:rPr>
          <w:lang w:val="en-GB"/>
        </w:rPr>
      </w:pPr>
    </w:p>
    <w:p w:rsidR="28B4CB1A" w:rsidP="28B4CB1A" w:rsidRDefault="28B4CB1A" w14:paraId="5A5E3EEF" w14:textId="3B9B56F5">
      <w:pPr>
        <w:rPr>
          <w:lang w:val="en-GB"/>
        </w:rPr>
      </w:pPr>
      <w:r w:rsidRPr="28B4CB1A">
        <w:rPr>
          <w:lang w:val="en-GB"/>
        </w:rPr>
        <w:t xml:space="preserve">Normalisation is the first function in the </w:t>
      </w:r>
      <w:proofErr w:type="spellStart"/>
      <w:r w:rsidRPr="28B4CB1A">
        <w:rPr>
          <w:lang w:val="en-GB"/>
        </w:rPr>
        <w:t>clearMDM</w:t>
      </w:r>
      <w:proofErr w:type="spellEnd"/>
      <w:r w:rsidRPr="28B4CB1A">
        <w:rPr>
          <w:lang w:val="en-GB"/>
        </w:rPr>
        <w:t xml:space="preserve"> process. It has two purposes. The first is to standardise the field values, and the second is to produce a blocking key which will be used in the matching function (more about this in the Matching Training Module).</w:t>
      </w:r>
    </w:p>
    <w:p w:rsidR="28B4CB1A" w:rsidP="28B4CB1A" w:rsidRDefault="28B4CB1A" w14:paraId="398B3ED1" w14:textId="1DCC8D77">
      <w:pPr>
        <w:rPr>
          <w:lang w:val="en-GB"/>
        </w:rPr>
      </w:pPr>
    </w:p>
    <w:p w:rsidR="28B4CB1A" w:rsidP="28B4CB1A" w:rsidRDefault="28B4CB1A" w14:paraId="74701574" w14:textId="41A76B34">
      <w:pPr>
        <w:rPr>
          <w:lang w:val="en-GB"/>
        </w:rPr>
      </w:pPr>
      <w:r w:rsidRPr="28B4CB1A">
        <w:rPr>
          <w:lang w:val="en-GB"/>
        </w:rPr>
        <w:t xml:space="preserve">What does 'Standardise the field values' mean? Well, it's probably easier to provide an example to explain this. When record information is captured, depending on who is inputting it and in which system, there could be variations of a field content. </w:t>
      </w:r>
    </w:p>
    <w:p w:rsidR="28B4CB1A" w:rsidP="28B4CB1A" w:rsidRDefault="28B4CB1A" w14:paraId="7312034B" w14:textId="4F5345A6">
      <w:pPr>
        <w:rPr>
          <w:lang w:val="en-GB"/>
        </w:rPr>
      </w:pPr>
    </w:p>
    <w:p w:rsidR="28B4CB1A" w:rsidP="28B4CB1A" w:rsidRDefault="28B4CB1A" w14:paraId="48C29FFF" w14:textId="43BBCEF7">
      <w:pPr>
        <w:rPr>
          <w:b/>
          <w:bCs/>
          <w:lang w:val="en-GB"/>
        </w:rPr>
      </w:pPr>
      <w:r w:rsidRPr="28B4CB1A">
        <w:rPr>
          <w:b/>
          <w:bCs/>
          <w:lang w:val="en-GB"/>
        </w:rPr>
        <w:t>Example:</w:t>
      </w:r>
    </w:p>
    <w:p w:rsidR="28B4CB1A" w:rsidP="28B4CB1A" w:rsidRDefault="28B4CB1A" w14:paraId="2AF32AD9" w14:textId="2A0E7E71">
      <w:pPr>
        <w:rPr>
          <w:lang w:val="en-GB"/>
        </w:rPr>
      </w:pPr>
    </w:p>
    <w:p w:rsidR="28B4CB1A" w:rsidP="28B4CB1A" w:rsidRDefault="28B4CB1A" w14:paraId="6AAE135E" w14:textId="459C3650">
      <w:pPr>
        <w:rPr>
          <w:lang w:val="en-GB"/>
        </w:rPr>
      </w:pPr>
      <w:r w:rsidRPr="28B4CB1A">
        <w:rPr>
          <w:lang w:val="en-GB"/>
        </w:rPr>
        <w:t xml:space="preserve">A Billing address could have a Billing Country text field, which is free format. If this was for the UK, you could have Great Britain, England, Wales etc. By standardising that field so any of these inputs would be classed as 'UK', will help with the matching process. </w:t>
      </w:r>
    </w:p>
    <w:p w:rsidR="28B4CB1A" w:rsidP="28B4CB1A" w:rsidRDefault="28B4CB1A" w14:paraId="41222F41" w14:textId="5A5623A5">
      <w:pPr>
        <w:rPr>
          <w:lang w:val="en-GB"/>
        </w:rPr>
      </w:pPr>
    </w:p>
    <w:p w:rsidR="28B4CB1A" w:rsidP="28B4CB1A" w:rsidRDefault="28B4CB1A" w14:paraId="7B813ABA" w14:textId="0C35EE4F">
      <w:pPr>
        <w:rPr>
          <w:lang w:val="en-GB"/>
        </w:rPr>
      </w:pPr>
      <w:r w:rsidRPr="28B4CB1A">
        <w:rPr>
          <w:lang w:val="en-GB"/>
        </w:rPr>
        <w:t xml:space="preserve">Also, a company name may have different variations, Barista Coffee, Barista Coffee Ltd, Barista Coffee Limited, or even misspelt, </w:t>
      </w:r>
      <w:proofErr w:type="spellStart"/>
      <w:r w:rsidRPr="28B4CB1A">
        <w:rPr>
          <w:lang w:val="en-GB"/>
        </w:rPr>
        <w:t>Barrista</w:t>
      </w:r>
      <w:proofErr w:type="spellEnd"/>
      <w:r w:rsidRPr="28B4CB1A">
        <w:rPr>
          <w:lang w:val="en-GB"/>
        </w:rPr>
        <w:t xml:space="preserve"> Coffee. Again, by standardising that field so any variations are recognised, it all helps with the matching process. </w:t>
      </w:r>
    </w:p>
    <w:p w:rsidR="28B4CB1A" w:rsidP="28B4CB1A" w:rsidRDefault="28B4CB1A" w14:paraId="46CC0466" w14:textId="64B8BE4C">
      <w:pPr>
        <w:rPr>
          <w:lang w:val="en-GB"/>
        </w:rPr>
      </w:pPr>
    </w:p>
    <w:p w:rsidR="28B4CB1A" w:rsidP="28B4CB1A" w:rsidRDefault="28B4CB1A" w14:paraId="0D0A972E" w14:textId="79C7A3DF">
      <w:pPr>
        <w:rPr>
          <w:lang w:val="en-GB"/>
        </w:rPr>
      </w:pPr>
      <w:r w:rsidRPr="28B4CB1A">
        <w:rPr>
          <w:lang w:val="en-GB"/>
        </w:rPr>
        <w:t xml:space="preserve">So how do you apply this within </w:t>
      </w:r>
      <w:proofErr w:type="spellStart"/>
      <w:r w:rsidRPr="28B4CB1A">
        <w:rPr>
          <w:lang w:val="en-GB"/>
        </w:rPr>
        <w:t>clearMDM</w:t>
      </w:r>
      <w:proofErr w:type="spellEnd"/>
      <w:r w:rsidRPr="28B4CB1A">
        <w:rPr>
          <w:lang w:val="en-GB"/>
        </w:rPr>
        <w:t xml:space="preserve"> and what's the Blocking Key? Follow these steps and exercises to find out. </w:t>
      </w:r>
    </w:p>
    <w:p w:rsidR="28B4CB1A" w:rsidP="28B4CB1A" w:rsidRDefault="28B4CB1A" w14:paraId="12BBF921" w14:textId="567F8846">
      <w:pPr>
        <w:rPr>
          <w:lang w:val="en-GB"/>
        </w:rPr>
      </w:pPr>
    </w:p>
    <w:p w:rsidR="28B4CB1A" w:rsidP="28B4CB1A" w:rsidRDefault="28B4CB1A" w14:paraId="7303AEC8" w14:textId="05034830">
      <w:pPr>
        <w:rPr>
          <w:lang w:val="en-GB"/>
        </w:rPr>
      </w:pPr>
    </w:p>
    <w:p w:rsidRPr="001A5AAF" w:rsidR="28B4CB1A" w:rsidP="001A5AAF" w:rsidRDefault="28B4CB1A" w14:paraId="648589A1" w14:textId="48B51B39">
      <w:pPr>
        <w:pStyle w:val="Heading2"/>
        <w:rPr>
          <w:b/>
          <w:color w:val="auto"/>
          <w:lang w:val="en-GB"/>
        </w:rPr>
      </w:pPr>
      <w:bookmarkStart w:name="_Toc516663297" w:id="2"/>
      <w:r w:rsidRPr="001A5AAF">
        <w:rPr>
          <w:b/>
          <w:color w:val="auto"/>
          <w:lang w:val="en-GB"/>
        </w:rPr>
        <w:t>Step 1 – Standardising the fields</w:t>
      </w:r>
      <w:bookmarkEnd w:id="2"/>
    </w:p>
    <w:p w:rsidR="28B4CB1A" w:rsidP="47D907A2" w:rsidRDefault="28B4CB1A" w14:paraId="4E89C5F8" w14:textId="6C3E7B58">
      <w:pPr>
        <w:rPr>
          <w:lang w:val="en-GB"/>
        </w:rPr>
      </w:pPr>
    </w:p>
    <w:p w:rsidR="47D907A2" w:rsidP="47D907A2" w:rsidRDefault="47D907A2" w14:paraId="46AC4328" w14:textId="4176D7E6">
      <w:pPr>
        <w:rPr>
          <w:lang w:val="en-GB"/>
        </w:rPr>
      </w:pPr>
      <w:r w:rsidRPr="47D907A2">
        <w:rPr>
          <w:lang w:val="en-GB"/>
        </w:rPr>
        <w:t xml:space="preserve">Decide up front before implementing this within </w:t>
      </w:r>
      <w:proofErr w:type="spellStart"/>
      <w:r w:rsidRPr="47D907A2">
        <w:rPr>
          <w:lang w:val="en-GB"/>
        </w:rPr>
        <w:t>clearMDM</w:t>
      </w:r>
      <w:proofErr w:type="spellEnd"/>
      <w:r w:rsidRPr="47D907A2">
        <w:rPr>
          <w:lang w:val="en-GB"/>
        </w:rPr>
        <w:t xml:space="preserve">, which fields would need standardising. Once this has been decided, which may need input from various Business Members, then decide what the rule should be per field. </w:t>
      </w:r>
    </w:p>
    <w:p w:rsidR="47D907A2" w:rsidP="47D907A2" w:rsidRDefault="47D907A2" w14:paraId="5F7B0E5C" w14:textId="6F9CC4D3">
      <w:pPr>
        <w:rPr>
          <w:lang w:val="en-GB"/>
        </w:rPr>
      </w:pPr>
    </w:p>
    <w:p w:rsidR="47D907A2" w:rsidP="47D907A2" w:rsidRDefault="47D907A2" w14:paraId="558D8B23" w14:textId="4E66F3E3">
      <w:pPr>
        <w:spacing w:line="259" w:lineRule="auto"/>
      </w:pPr>
      <w:r w:rsidRPr="47D907A2">
        <w:rPr>
          <w:lang w:val="en-GB"/>
        </w:rPr>
        <w:t xml:space="preserve">This involves understanding what rule type can be used within </w:t>
      </w:r>
      <w:proofErr w:type="spellStart"/>
      <w:r w:rsidRPr="47D907A2">
        <w:rPr>
          <w:lang w:val="en-GB"/>
        </w:rPr>
        <w:t>clearMDM</w:t>
      </w:r>
      <w:proofErr w:type="spellEnd"/>
      <w:r w:rsidRPr="47D907A2">
        <w:rPr>
          <w:lang w:val="en-GB"/>
        </w:rPr>
        <w:t xml:space="preserve">.  The table below goes through these and the next step will show where they are selected within </w:t>
      </w:r>
      <w:proofErr w:type="spellStart"/>
      <w:r w:rsidRPr="47D907A2">
        <w:rPr>
          <w:lang w:val="en-GB"/>
        </w:rPr>
        <w:t>clearMDM</w:t>
      </w:r>
      <w:proofErr w:type="spellEnd"/>
      <w:r w:rsidRPr="47D907A2">
        <w:rPr>
          <w:lang w:val="en-GB"/>
        </w:rPr>
        <w:t xml:space="preserve">. For now, concentrate on understanding each one and applying to the fields identified. </w:t>
      </w:r>
    </w:p>
    <w:p w:rsidR="47D907A2" w:rsidP="47D907A2" w:rsidRDefault="47D907A2" w14:paraId="0E73A417" w14:textId="5A704BA9">
      <w:pPr>
        <w:spacing w:line="259" w:lineRule="auto"/>
        <w:rPr>
          <w:lang w:val="en-GB"/>
        </w:rPr>
      </w:pPr>
    </w:p>
    <w:p w:rsidR="47D907A2" w:rsidP="47D907A2" w:rsidRDefault="47D907A2" w14:paraId="20D3ABB0" w14:textId="0E7CA058">
      <w:pPr>
        <w:spacing w:line="259" w:lineRule="auto"/>
        <w:rPr>
          <w:lang w:val="en-GB"/>
        </w:rPr>
      </w:pPr>
    </w:p>
    <w:p w:rsidR="47D907A2" w:rsidP="47D907A2" w:rsidRDefault="47D907A2" w14:paraId="6A463363" w14:textId="4D9FB51C">
      <w:pPr>
        <w:spacing w:line="259" w:lineRule="auto"/>
        <w:rPr>
          <w:lang w:val="en-GB"/>
        </w:rPr>
      </w:pPr>
    </w:p>
    <w:p w:rsidR="47D907A2" w:rsidP="47D907A2" w:rsidRDefault="47D907A2" w14:paraId="426DBD69" w14:textId="6586CBB9">
      <w:pPr>
        <w:spacing w:line="259" w:lineRule="auto"/>
        <w:rPr>
          <w:lang w:val="en-GB"/>
        </w:rPr>
      </w:pPr>
    </w:p>
    <w:p w:rsidR="47D907A2" w:rsidP="47D907A2" w:rsidRDefault="47D907A2" w14:paraId="06CBD881" w14:textId="0FBB432A">
      <w:pPr>
        <w:spacing w:line="259" w:lineRule="auto"/>
        <w:rPr>
          <w:lang w:val="en-GB"/>
        </w:rPr>
      </w:pPr>
    </w:p>
    <w:p w:rsidR="47D907A2" w:rsidP="47D907A2" w:rsidRDefault="47D907A2" w14:paraId="4A39476D" w14:textId="086A6458">
      <w:pPr>
        <w:spacing w:line="259" w:lineRule="auto"/>
        <w:rPr>
          <w:lang w:val="en-GB"/>
        </w:rPr>
      </w:pPr>
    </w:p>
    <w:p w:rsidR="47D907A2" w:rsidP="47D907A2" w:rsidRDefault="47D907A2" w14:paraId="7C4A3585" w14:textId="10B83207">
      <w:pPr>
        <w:spacing w:line="259" w:lineRule="auto"/>
        <w:rPr>
          <w:lang w:val="en-GB"/>
        </w:rPr>
      </w:pPr>
    </w:p>
    <w:p w:rsidR="47D907A2" w:rsidP="47D907A2" w:rsidRDefault="47D907A2" w14:paraId="220D86F6" w14:textId="215CC2C1">
      <w:pPr>
        <w:spacing w:line="259" w:lineRule="auto"/>
        <w:rPr>
          <w:lang w:val="en-GB"/>
        </w:rPr>
      </w:pPr>
    </w:p>
    <w:p w:rsidR="47D907A2" w:rsidP="47D907A2" w:rsidRDefault="47D907A2" w14:paraId="05D7D78C" w14:textId="5FFF6B61">
      <w:pPr>
        <w:spacing w:line="259" w:lineRule="auto"/>
        <w:rPr>
          <w:lang w:val="en-GB"/>
        </w:rPr>
      </w:pPr>
    </w:p>
    <w:p w:rsidR="00754E66" w:rsidP="47D907A2" w:rsidRDefault="00754E66" w14:paraId="64C750FC" w14:textId="77777777">
      <w:pPr>
        <w:spacing w:line="259" w:lineRule="auto"/>
        <w:rPr>
          <w:lang w:val="en-GB"/>
        </w:rPr>
      </w:pPr>
    </w:p>
    <w:p w:rsidR="47D907A2" w:rsidP="47D907A2" w:rsidRDefault="47D907A2" w14:paraId="0460EB02" w14:textId="796B7623">
      <w:pPr>
        <w:spacing w:line="259" w:lineRule="auto"/>
        <w:rPr>
          <w:b/>
          <w:bCs/>
          <w:lang w:val="en-GB"/>
        </w:rPr>
      </w:pPr>
    </w:p>
    <w:p w:rsidR="47D907A2" w:rsidP="47D907A2" w:rsidRDefault="47D907A2" w14:paraId="49BD52DE" w14:textId="39111BB9">
      <w:pPr>
        <w:pStyle w:val="Heading2"/>
        <w:rPr>
          <w:b/>
          <w:bCs/>
          <w:color w:val="auto"/>
          <w:lang w:val="en-GB"/>
        </w:rPr>
      </w:pPr>
      <w:bookmarkStart w:name="_Toc516663298" w:id="3"/>
      <w:r w:rsidRPr="47D907A2">
        <w:rPr>
          <w:b/>
          <w:bCs/>
          <w:color w:val="auto"/>
          <w:lang w:val="en-GB"/>
        </w:rPr>
        <w:lastRenderedPageBreak/>
        <w:t>Normalisation Rules</w:t>
      </w:r>
      <w:bookmarkEnd w:id="3"/>
    </w:p>
    <w:p w:rsidR="47D907A2" w:rsidP="47D907A2" w:rsidRDefault="47D907A2" w14:paraId="1C4FDF91" w14:textId="446929CD">
      <w:pPr>
        <w:spacing w:line="259" w:lineRule="auto"/>
        <w:rPr>
          <w:lang w:val="en-GB"/>
        </w:rPr>
      </w:pPr>
    </w:p>
    <w:tbl>
      <w:tblPr>
        <w:tblStyle w:val="GridTable1Light-Accent1"/>
        <w:tblW w:w="0" w:type="auto"/>
        <w:tblLayout w:type="fixed"/>
        <w:tblLook w:val="06A0" w:firstRow="1" w:lastRow="0" w:firstColumn="1" w:lastColumn="0" w:noHBand="1" w:noVBand="1"/>
      </w:tblPr>
      <w:tblGrid>
        <w:gridCol w:w="4510"/>
        <w:gridCol w:w="4510"/>
      </w:tblGrid>
      <w:tr w:rsidR="47D907A2" w:rsidTr="47D907A2" w14:paraId="43A497E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rsidR="47D907A2" w:rsidP="47D907A2" w:rsidRDefault="47D907A2" w14:paraId="1278F207" w14:textId="6773F318">
            <w:pPr>
              <w:rPr>
                <w:lang w:val="en-GB"/>
              </w:rPr>
            </w:pPr>
            <w:r w:rsidRPr="47D907A2">
              <w:rPr>
                <w:lang w:val="en-GB"/>
              </w:rPr>
              <w:t xml:space="preserve">Rule Type </w:t>
            </w:r>
          </w:p>
        </w:tc>
        <w:tc>
          <w:tcPr>
            <w:tcW w:w="4510" w:type="dxa"/>
          </w:tcPr>
          <w:p w:rsidR="47D907A2" w:rsidP="47D907A2" w:rsidRDefault="47D907A2" w14:paraId="4B59957F" w14:textId="14A00EB8">
            <w:pPr>
              <w:cnfStyle w:val="100000000000" w:firstRow="1" w:lastRow="0" w:firstColumn="0" w:lastColumn="0" w:oddVBand="0" w:evenVBand="0" w:oddHBand="0" w:evenHBand="0" w:firstRowFirstColumn="0" w:firstRowLastColumn="0" w:lastRowFirstColumn="0" w:lastRowLastColumn="0"/>
              <w:rPr>
                <w:lang w:val="en-GB"/>
              </w:rPr>
            </w:pPr>
            <w:r w:rsidRPr="47D907A2">
              <w:rPr>
                <w:lang w:val="en-GB"/>
              </w:rPr>
              <w:t xml:space="preserve">Definition </w:t>
            </w:r>
          </w:p>
        </w:tc>
      </w:tr>
      <w:tr w:rsidR="47D907A2" w:rsidTr="47D907A2" w14:paraId="0EF17B70" w14:textId="77777777">
        <w:tc>
          <w:tcPr>
            <w:cnfStyle w:val="001000000000" w:firstRow="0" w:lastRow="0" w:firstColumn="1" w:lastColumn="0" w:oddVBand="0" w:evenVBand="0" w:oddHBand="0" w:evenHBand="0" w:firstRowFirstColumn="0" w:firstRowLastColumn="0" w:lastRowFirstColumn="0" w:lastRowLastColumn="0"/>
            <w:tcW w:w="4510" w:type="dxa"/>
          </w:tcPr>
          <w:p w:rsidR="47D907A2" w:rsidP="47D907A2" w:rsidRDefault="47D907A2" w14:paraId="1E108B2A" w14:textId="523D906B">
            <w:pPr>
              <w:rPr>
                <w:b w:val="0"/>
                <w:bCs w:val="0"/>
                <w:lang w:val="en-GB"/>
              </w:rPr>
            </w:pPr>
            <w:r w:rsidRPr="47D907A2">
              <w:rPr>
                <w:b w:val="0"/>
                <w:bCs w:val="0"/>
                <w:lang w:val="en-GB"/>
              </w:rPr>
              <w:t>Lookup</w:t>
            </w:r>
          </w:p>
        </w:tc>
        <w:tc>
          <w:tcPr>
            <w:tcW w:w="4510" w:type="dxa"/>
          </w:tcPr>
          <w:p w:rsidR="47D907A2" w:rsidP="47D907A2" w:rsidRDefault="47D907A2" w14:paraId="2A0A4EB9" w14:textId="1BC2BD4F">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 xml:space="preserve">This type of rule is used where a custom setting has been setup to reference the input field value and standardise this field. An example for this is the </w:t>
            </w:r>
            <w:proofErr w:type="spellStart"/>
            <w:r w:rsidRPr="47D907A2">
              <w:rPr>
                <w:lang w:val="en-GB"/>
              </w:rPr>
              <w:t>BillingCountry</w:t>
            </w:r>
            <w:proofErr w:type="spellEnd"/>
            <w:r w:rsidRPr="47D907A2">
              <w:rPr>
                <w:lang w:val="en-GB"/>
              </w:rPr>
              <w:t xml:space="preserve"> field. The custom setting would have a match list of all possible variations this could take and what this should be standardised to, including the field that should be used to do this. </w:t>
            </w:r>
          </w:p>
        </w:tc>
      </w:tr>
    </w:tbl>
    <w:p w:rsidR="28B4CB1A" w:rsidP="47D907A2" w:rsidRDefault="28B4CB1A" w14:paraId="7D9A1E93" w14:textId="597610CF">
      <w:pPr>
        <w:rPr>
          <w:lang w:val="en-GB"/>
        </w:rPr>
      </w:pPr>
    </w:p>
    <w:p w:rsidR="47D907A2" w:rsidP="47D907A2" w:rsidRDefault="47D907A2" w14:paraId="7E03D2E2" w14:textId="29113260">
      <w:pPr>
        <w:rPr>
          <w:lang w:val="en-GB"/>
        </w:rPr>
      </w:pPr>
      <w:r w:rsidRPr="47D907A2">
        <w:rPr>
          <w:lang w:val="en-GB"/>
        </w:rPr>
        <w:t>The following exercise puts this into context.</w:t>
      </w:r>
    </w:p>
    <w:p w:rsidR="47D907A2" w:rsidP="47D907A2" w:rsidRDefault="47D907A2" w14:paraId="0F94A95C" w14:textId="5EA44D40">
      <w:pPr>
        <w:rPr>
          <w:lang w:val="en-GB"/>
        </w:rPr>
      </w:pPr>
    </w:p>
    <w:p w:rsidR="28B4CB1A" w:rsidP="47D907A2" w:rsidRDefault="47D907A2" w14:paraId="50705A1D" w14:textId="7A8599CB">
      <w:pPr>
        <w:rPr>
          <w:b/>
          <w:bCs/>
          <w:lang w:val="en-GB"/>
        </w:rPr>
      </w:pPr>
      <w:r w:rsidRPr="47D907A2">
        <w:rPr>
          <w:b/>
          <w:bCs/>
          <w:lang w:val="en-GB"/>
        </w:rPr>
        <w:t>Exercise:</w:t>
      </w:r>
    </w:p>
    <w:p w:rsidR="28B4CB1A" w:rsidP="47D907A2" w:rsidRDefault="28B4CB1A" w14:paraId="3A7D4F39" w14:textId="155F5FE5">
      <w:pPr>
        <w:rPr>
          <w:lang w:val="en-GB"/>
        </w:rPr>
      </w:pPr>
    </w:p>
    <w:p w:rsidR="47D907A2" w:rsidP="00B66BE7" w:rsidRDefault="47D907A2" w14:paraId="4A00D5B1" w14:textId="5AE7B85B">
      <w:pPr>
        <w:pStyle w:val="ListParagraph"/>
        <w:numPr>
          <w:ilvl w:val="0"/>
          <w:numId w:val="6"/>
        </w:numPr>
        <w:rPr>
          <w:rFonts w:eastAsiaTheme="minorEastAsia"/>
          <w:lang w:val="en-GB"/>
        </w:rPr>
      </w:pPr>
      <w:r w:rsidRPr="47D907A2">
        <w:rPr>
          <w:lang w:val="en-GB"/>
        </w:rPr>
        <w:t>Within your Salesforce sandbox, navigate to setup (top tier level).</w:t>
      </w:r>
    </w:p>
    <w:p w:rsidR="47D907A2" w:rsidP="00B66BE7" w:rsidRDefault="47D907A2" w14:paraId="441B657D" w14:textId="13783EE8">
      <w:pPr>
        <w:pStyle w:val="ListParagraph"/>
        <w:numPr>
          <w:ilvl w:val="0"/>
          <w:numId w:val="6"/>
        </w:numPr>
        <w:rPr>
          <w:rFonts w:eastAsiaTheme="minorEastAsia"/>
          <w:lang w:val="en-GB"/>
        </w:rPr>
      </w:pPr>
      <w:r w:rsidRPr="47D907A2">
        <w:rPr>
          <w:lang w:val="en-GB"/>
        </w:rPr>
        <w:t xml:space="preserve">On the </w:t>
      </w:r>
      <w:proofErr w:type="spellStart"/>
      <w:r w:rsidRPr="47D907A2">
        <w:rPr>
          <w:lang w:val="en-GB"/>
        </w:rPr>
        <w:t>lefthand</w:t>
      </w:r>
      <w:proofErr w:type="spellEnd"/>
      <w:r w:rsidRPr="47D907A2">
        <w:rPr>
          <w:lang w:val="en-GB"/>
        </w:rPr>
        <w:t xml:space="preserve"> side, scroll down to Build, Develop and select Custom Settings.</w:t>
      </w:r>
    </w:p>
    <w:p w:rsidR="47D907A2" w:rsidP="00B66BE7" w:rsidRDefault="47D907A2" w14:paraId="10951B11" w14:textId="23BBF999">
      <w:pPr>
        <w:pStyle w:val="ListParagraph"/>
        <w:numPr>
          <w:ilvl w:val="0"/>
          <w:numId w:val="6"/>
        </w:numPr>
        <w:rPr>
          <w:rFonts w:eastAsiaTheme="minorEastAsia"/>
          <w:lang w:val="en-GB"/>
        </w:rPr>
      </w:pPr>
      <w:proofErr w:type="spellStart"/>
      <w:r w:rsidRPr="47D907A2">
        <w:rPr>
          <w:lang w:val="en-GB"/>
        </w:rPr>
        <w:t>clearMDM</w:t>
      </w:r>
      <w:proofErr w:type="spellEnd"/>
      <w:r w:rsidRPr="47D907A2">
        <w:rPr>
          <w:lang w:val="en-GB"/>
        </w:rPr>
        <w:t xml:space="preserve"> already comes with a list of pre-determined Custom Settings. </w:t>
      </w:r>
    </w:p>
    <w:p w:rsidR="47D907A2" w:rsidP="00B66BE7" w:rsidRDefault="47D907A2" w14:paraId="6DFC7A8D" w14:textId="234111D0">
      <w:pPr>
        <w:pStyle w:val="ListParagraph"/>
        <w:numPr>
          <w:ilvl w:val="0"/>
          <w:numId w:val="6"/>
        </w:numPr>
        <w:rPr>
          <w:rFonts w:eastAsiaTheme="minorEastAsia"/>
          <w:lang w:val="en-GB"/>
        </w:rPr>
      </w:pPr>
      <w:r w:rsidRPr="47D907A2">
        <w:rPr>
          <w:lang w:val="en-GB"/>
        </w:rPr>
        <w:t xml:space="preserve">Click on Manage 'ISO Country Codes'. </w:t>
      </w:r>
    </w:p>
    <w:p w:rsidR="47D907A2" w:rsidP="00B66BE7" w:rsidRDefault="47D907A2" w14:paraId="4AD76268" w14:textId="516A2EFE">
      <w:pPr>
        <w:pStyle w:val="ListParagraph"/>
        <w:numPr>
          <w:ilvl w:val="0"/>
          <w:numId w:val="6"/>
        </w:numPr>
        <w:rPr>
          <w:rFonts w:eastAsiaTheme="minorEastAsia"/>
          <w:lang w:val="en-GB"/>
        </w:rPr>
      </w:pPr>
      <w:r w:rsidRPr="47D907A2">
        <w:rPr>
          <w:lang w:val="en-GB"/>
        </w:rPr>
        <w:t xml:space="preserve">Here you will see a short list of countries. You can click on new to create a new </w:t>
      </w:r>
      <w:proofErr w:type="gramStart"/>
      <w:r w:rsidRPr="47D907A2">
        <w:rPr>
          <w:lang w:val="en-GB"/>
        </w:rPr>
        <w:t>one, or</w:t>
      </w:r>
      <w:proofErr w:type="gramEnd"/>
      <w:r w:rsidRPr="47D907A2">
        <w:rPr>
          <w:lang w:val="en-GB"/>
        </w:rPr>
        <w:t xml:space="preserve"> select one of the existing ones. </w:t>
      </w:r>
    </w:p>
    <w:p w:rsidR="47D907A2" w:rsidP="00B66BE7" w:rsidRDefault="47D907A2" w14:paraId="1C4BBFBD" w14:textId="64F74D92">
      <w:pPr>
        <w:pStyle w:val="ListParagraph"/>
        <w:numPr>
          <w:ilvl w:val="0"/>
          <w:numId w:val="6"/>
        </w:numPr>
        <w:rPr>
          <w:rFonts w:eastAsiaTheme="minorEastAsia"/>
          <w:lang w:val="en-GB"/>
        </w:rPr>
      </w:pPr>
      <w:r w:rsidRPr="47D907A2">
        <w:rPr>
          <w:lang w:val="en-GB"/>
        </w:rPr>
        <w:t xml:space="preserve">For this exercise, click on Edit next to United Kingdom. </w:t>
      </w:r>
    </w:p>
    <w:p w:rsidR="47D907A2" w:rsidP="00B66BE7" w:rsidRDefault="47D907A2" w14:paraId="73A2C91C" w14:textId="7A574DE0">
      <w:pPr>
        <w:pStyle w:val="ListParagraph"/>
        <w:numPr>
          <w:ilvl w:val="0"/>
          <w:numId w:val="6"/>
        </w:numPr>
        <w:rPr>
          <w:rFonts w:eastAsiaTheme="minorEastAsia"/>
          <w:lang w:val="en-GB"/>
        </w:rPr>
      </w:pPr>
      <w:r w:rsidRPr="47D907A2">
        <w:rPr>
          <w:lang w:val="en-GB"/>
        </w:rPr>
        <w:t>Within here, you can add into the Match List all possible Country names.</w:t>
      </w:r>
    </w:p>
    <w:p w:rsidR="47D907A2" w:rsidP="00B66BE7" w:rsidRDefault="47D907A2" w14:paraId="54249431" w14:textId="5FA721E1">
      <w:pPr>
        <w:pStyle w:val="ListParagraph"/>
        <w:numPr>
          <w:ilvl w:val="0"/>
          <w:numId w:val="6"/>
        </w:numPr>
        <w:rPr>
          <w:rFonts w:eastAsiaTheme="minorEastAsia"/>
          <w:lang w:val="en-GB"/>
        </w:rPr>
      </w:pPr>
      <w:r w:rsidRPr="47D907A2">
        <w:rPr>
          <w:lang w:val="en-GB"/>
        </w:rPr>
        <w:t xml:space="preserve">The country code will be standardised to GB in the ISO Country Field where any records have the value that is in the match list. </w:t>
      </w:r>
    </w:p>
    <w:p w:rsidR="47D907A2" w:rsidP="47D907A2" w:rsidRDefault="47D907A2" w14:paraId="09D2682B" w14:textId="559BB9E6">
      <w:pPr>
        <w:rPr>
          <w:lang w:val="en-GB"/>
        </w:rPr>
      </w:pPr>
    </w:p>
    <w:tbl>
      <w:tblPr>
        <w:tblStyle w:val="GridTable1Light-Accent1"/>
        <w:tblW w:w="0" w:type="auto"/>
        <w:tblLayout w:type="fixed"/>
        <w:tblLook w:val="06A0" w:firstRow="1" w:lastRow="0" w:firstColumn="1" w:lastColumn="0" w:noHBand="1" w:noVBand="1"/>
      </w:tblPr>
      <w:tblGrid>
        <w:gridCol w:w="4510"/>
        <w:gridCol w:w="4510"/>
      </w:tblGrid>
      <w:tr w:rsidR="47D907A2" w:rsidTr="47D907A2" w14:paraId="1DB03AF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rsidR="47D907A2" w:rsidP="47D907A2" w:rsidRDefault="47D907A2" w14:paraId="03E203C7" w14:textId="544E1BC2">
            <w:pPr>
              <w:rPr>
                <w:lang w:val="en-GB"/>
              </w:rPr>
            </w:pPr>
            <w:r w:rsidRPr="47D907A2">
              <w:rPr>
                <w:lang w:val="en-GB"/>
              </w:rPr>
              <w:t xml:space="preserve">Rule Type </w:t>
            </w:r>
          </w:p>
        </w:tc>
        <w:tc>
          <w:tcPr>
            <w:tcW w:w="4510" w:type="dxa"/>
          </w:tcPr>
          <w:p w:rsidR="47D907A2" w:rsidP="47D907A2" w:rsidRDefault="47D907A2" w14:paraId="52B44E04" w14:textId="5183A8F0">
            <w:pPr>
              <w:cnfStyle w:val="100000000000" w:firstRow="1" w:lastRow="0" w:firstColumn="0" w:lastColumn="0" w:oddVBand="0" w:evenVBand="0" w:oddHBand="0" w:evenHBand="0" w:firstRowFirstColumn="0" w:firstRowLastColumn="0" w:lastRowFirstColumn="0" w:lastRowLastColumn="0"/>
              <w:rPr>
                <w:lang w:val="en-GB"/>
              </w:rPr>
            </w:pPr>
            <w:r w:rsidRPr="47D907A2">
              <w:rPr>
                <w:lang w:val="en-GB"/>
              </w:rPr>
              <w:t>Definition</w:t>
            </w:r>
          </w:p>
        </w:tc>
      </w:tr>
      <w:tr w:rsidR="47D907A2" w:rsidTr="47D907A2" w14:paraId="1F9455E7" w14:textId="77777777">
        <w:tc>
          <w:tcPr>
            <w:cnfStyle w:val="001000000000" w:firstRow="0" w:lastRow="0" w:firstColumn="1" w:lastColumn="0" w:oddVBand="0" w:evenVBand="0" w:oddHBand="0" w:evenHBand="0" w:firstRowFirstColumn="0" w:firstRowLastColumn="0" w:lastRowFirstColumn="0" w:lastRowLastColumn="0"/>
            <w:tcW w:w="4510" w:type="dxa"/>
          </w:tcPr>
          <w:p w:rsidR="47D907A2" w:rsidP="47D907A2" w:rsidRDefault="47D907A2" w14:paraId="0C74185F" w14:textId="1361A10E">
            <w:pPr>
              <w:rPr>
                <w:b w:val="0"/>
                <w:bCs w:val="0"/>
                <w:lang w:val="en-GB"/>
              </w:rPr>
            </w:pPr>
            <w:r w:rsidRPr="47D907A2">
              <w:rPr>
                <w:b w:val="0"/>
                <w:bCs w:val="0"/>
                <w:lang w:val="en-GB"/>
              </w:rPr>
              <w:t xml:space="preserve">Remove End </w:t>
            </w:r>
          </w:p>
        </w:tc>
        <w:tc>
          <w:tcPr>
            <w:tcW w:w="4510" w:type="dxa"/>
          </w:tcPr>
          <w:p w:rsidR="47D907A2" w:rsidP="47D907A2" w:rsidRDefault="47D907A2" w14:paraId="669C5B9B" w14:textId="26302F9C">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 xml:space="preserve">A Custom Setting can be referenced to return a list of values to remove from the input field value. </w:t>
            </w:r>
          </w:p>
        </w:tc>
      </w:tr>
    </w:tbl>
    <w:p w:rsidR="47D907A2" w:rsidP="47D907A2" w:rsidRDefault="47D907A2" w14:paraId="4D62DC7B" w14:textId="37A59A97">
      <w:pPr>
        <w:rPr>
          <w:lang w:val="en-GB"/>
        </w:rPr>
      </w:pPr>
    </w:p>
    <w:p w:rsidR="47D907A2" w:rsidP="47D907A2" w:rsidRDefault="47D907A2" w14:paraId="10A8067F" w14:textId="5E2EBC2C">
      <w:pPr>
        <w:rPr>
          <w:b/>
          <w:bCs/>
          <w:lang w:val="en-GB"/>
        </w:rPr>
      </w:pPr>
      <w:r w:rsidRPr="47D907A2">
        <w:rPr>
          <w:b/>
          <w:bCs/>
          <w:lang w:val="en-GB"/>
        </w:rPr>
        <w:t>Exercise:</w:t>
      </w:r>
    </w:p>
    <w:p w:rsidR="47D907A2" w:rsidP="47D907A2" w:rsidRDefault="47D907A2" w14:paraId="53B14FC7" w14:textId="3B4AC7CF">
      <w:pPr>
        <w:rPr>
          <w:b/>
          <w:bCs/>
          <w:lang w:val="en-GB"/>
        </w:rPr>
      </w:pPr>
    </w:p>
    <w:p w:rsidR="47D907A2" w:rsidP="00B66BE7" w:rsidRDefault="47D907A2" w14:paraId="1E1C8578" w14:textId="2F462322">
      <w:pPr>
        <w:pStyle w:val="ListParagraph"/>
        <w:numPr>
          <w:ilvl w:val="0"/>
          <w:numId w:val="5"/>
        </w:numPr>
        <w:rPr>
          <w:rFonts w:eastAsiaTheme="minorEastAsia"/>
          <w:lang w:val="en-GB"/>
        </w:rPr>
      </w:pPr>
      <w:r w:rsidRPr="47D907A2">
        <w:rPr>
          <w:lang w:val="en-GB"/>
        </w:rPr>
        <w:t>Navigate again to the setup, custom settings area as in the above exercise.</w:t>
      </w:r>
    </w:p>
    <w:p w:rsidR="47D907A2" w:rsidP="00B66BE7" w:rsidRDefault="47D907A2" w14:paraId="27FA961C" w14:textId="686C84E4">
      <w:pPr>
        <w:pStyle w:val="ListParagraph"/>
        <w:numPr>
          <w:ilvl w:val="0"/>
          <w:numId w:val="5"/>
        </w:numPr>
        <w:rPr>
          <w:rFonts w:eastAsiaTheme="minorEastAsia"/>
          <w:lang w:val="en-GB"/>
        </w:rPr>
      </w:pPr>
      <w:r w:rsidRPr="47D907A2">
        <w:rPr>
          <w:lang w:val="en-GB"/>
        </w:rPr>
        <w:t>Click on company suffixes and manage.</w:t>
      </w:r>
    </w:p>
    <w:p w:rsidR="47D907A2" w:rsidP="00B66BE7" w:rsidRDefault="47D907A2" w14:paraId="28F32B1F" w14:textId="3BB1B541">
      <w:pPr>
        <w:pStyle w:val="ListParagraph"/>
        <w:numPr>
          <w:ilvl w:val="0"/>
          <w:numId w:val="5"/>
        </w:numPr>
        <w:rPr>
          <w:rFonts w:eastAsiaTheme="minorEastAsia"/>
          <w:lang w:val="en-GB"/>
        </w:rPr>
      </w:pPr>
      <w:r w:rsidRPr="47D907A2">
        <w:rPr>
          <w:lang w:val="en-GB"/>
        </w:rPr>
        <w:t xml:space="preserve">In this example you will see a list of values that are to be removed from the input field value. Where a company has Limited, Ltd, Plc after the name, this will be removed so just the name remains for matching. </w:t>
      </w:r>
    </w:p>
    <w:p w:rsidR="47D907A2" w:rsidP="47D907A2" w:rsidRDefault="47D907A2" w14:paraId="6701EDCA" w14:textId="1D45AE36">
      <w:pPr>
        <w:rPr>
          <w:lang w:val="en-GB"/>
        </w:rPr>
      </w:pPr>
    </w:p>
    <w:p w:rsidR="47D907A2" w:rsidP="47D907A2" w:rsidRDefault="47D907A2" w14:paraId="1590BE74" w14:textId="57FB3735">
      <w:pPr>
        <w:rPr>
          <w:lang w:val="en-GB"/>
        </w:rPr>
      </w:pPr>
    </w:p>
    <w:p w:rsidR="47D907A2" w:rsidP="47D907A2" w:rsidRDefault="47D907A2" w14:paraId="2350A9B3" w14:textId="1A43177C">
      <w:pPr>
        <w:rPr>
          <w:lang w:val="en-GB"/>
        </w:rPr>
      </w:pPr>
    </w:p>
    <w:p w:rsidR="47D907A2" w:rsidP="47D907A2" w:rsidRDefault="47D907A2" w14:paraId="09042E18" w14:textId="239AD2A2">
      <w:pPr>
        <w:rPr>
          <w:lang w:val="en-GB"/>
        </w:rPr>
      </w:pPr>
    </w:p>
    <w:p w:rsidR="47D907A2" w:rsidP="47D907A2" w:rsidRDefault="47D907A2" w14:paraId="4EB5383F" w14:textId="4D7AD133">
      <w:pPr>
        <w:rPr>
          <w:lang w:val="en-GB"/>
        </w:rPr>
      </w:pPr>
    </w:p>
    <w:p w:rsidR="00754E66" w:rsidP="47D907A2" w:rsidRDefault="00754E66" w14:paraId="7BB882D1" w14:textId="77777777">
      <w:pPr>
        <w:rPr>
          <w:lang w:val="en-GB"/>
        </w:rPr>
      </w:pPr>
      <w:bookmarkStart w:name="_GoBack" w:id="4"/>
      <w:bookmarkEnd w:id="4"/>
    </w:p>
    <w:p w:rsidR="47D907A2" w:rsidP="47D907A2" w:rsidRDefault="47D907A2" w14:paraId="7AD15A6D" w14:textId="64E29AEF">
      <w:pPr>
        <w:rPr>
          <w:lang w:val="en-GB"/>
        </w:rPr>
      </w:pPr>
    </w:p>
    <w:tbl>
      <w:tblPr>
        <w:tblStyle w:val="GridTable1Light-Accent1"/>
        <w:tblW w:w="0" w:type="auto"/>
        <w:tblLayout w:type="fixed"/>
        <w:tblLook w:val="06A0" w:firstRow="1" w:lastRow="0" w:firstColumn="1" w:lastColumn="0" w:noHBand="1" w:noVBand="1"/>
      </w:tblPr>
      <w:tblGrid>
        <w:gridCol w:w="4510"/>
        <w:gridCol w:w="4510"/>
      </w:tblGrid>
      <w:tr w:rsidR="47D907A2" w:rsidTr="47D907A2" w14:paraId="4B20E86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rsidR="47D907A2" w:rsidP="47D907A2" w:rsidRDefault="47D907A2" w14:paraId="4B11FC7F" w14:textId="53A25DED">
            <w:pPr>
              <w:rPr>
                <w:lang w:val="en-GB"/>
              </w:rPr>
            </w:pPr>
            <w:r w:rsidRPr="47D907A2">
              <w:rPr>
                <w:lang w:val="en-GB"/>
              </w:rPr>
              <w:lastRenderedPageBreak/>
              <w:t xml:space="preserve">Rule Type </w:t>
            </w:r>
          </w:p>
        </w:tc>
        <w:tc>
          <w:tcPr>
            <w:tcW w:w="4510" w:type="dxa"/>
          </w:tcPr>
          <w:p w:rsidR="47D907A2" w:rsidP="47D907A2" w:rsidRDefault="47D907A2" w14:paraId="0D9C4F02" w14:textId="1868698D">
            <w:pPr>
              <w:cnfStyle w:val="100000000000" w:firstRow="1" w:lastRow="0" w:firstColumn="0" w:lastColumn="0" w:oddVBand="0" w:evenVBand="0" w:oddHBand="0" w:evenHBand="0" w:firstRowFirstColumn="0" w:firstRowLastColumn="0" w:lastRowFirstColumn="0" w:lastRowLastColumn="0"/>
              <w:rPr>
                <w:b w:val="0"/>
                <w:bCs w:val="0"/>
                <w:lang w:val="en-GB"/>
              </w:rPr>
            </w:pPr>
            <w:r w:rsidRPr="47D907A2">
              <w:rPr>
                <w:lang w:val="en-GB"/>
              </w:rPr>
              <w:t>Definition</w:t>
            </w:r>
          </w:p>
        </w:tc>
      </w:tr>
      <w:tr w:rsidR="47D907A2" w:rsidTr="47D907A2" w14:paraId="6DBB3071" w14:textId="77777777">
        <w:tc>
          <w:tcPr>
            <w:cnfStyle w:val="001000000000" w:firstRow="0" w:lastRow="0" w:firstColumn="1" w:lastColumn="0" w:oddVBand="0" w:evenVBand="0" w:oddHBand="0" w:evenHBand="0" w:firstRowFirstColumn="0" w:firstRowLastColumn="0" w:lastRowFirstColumn="0" w:lastRowLastColumn="0"/>
            <w:tcW w:w="4510" w:type="dxa"/>
          </w:tcPr>
          <w:p w:rsidR="47D907A2" w:rsidP="47D907A2" w:rsidRDefault="47D907A2" w14:paraId="541F7C91" w14:textId="17D17B6D">
            <w:pPr>
              <w:rPr>
                <w:b w:val="0"/>
                <w:bCs w:val="0"/>
                <w:lang w:val="en-GB"/>
              </w:rPr>
            </w:pPr>
            <w:r w:rsidRPr="47D907A2">
              <w:rPr>
                <w:b w:val="0"/>
                <w:bCs w:val="0"/>
                <w:lang w:val="en-GB"/>
              </w:rPr>
              <w:t xml:space="preserve">Email Domain </w:t>
            </w:r>
          </w:p>
        </w:tc>
        <w:tc>
          <w:tcPr>
            <w:tcW w:w="4510" w:type="dxa"/>
          </w:tcPr>
          <w:p w:rsidR="47D907A2" w:rsidP="47D907A2" w:rsidRDefault="47D907A2" w14:paraId="11EBB0E2" w14:textId="716C7818">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This literally removes the domain name from the email address.</w:t>
            </w:r>
          </w:p>
        </w:tc>
      </w:tr>
      <w:tr w:rsidR="47D907A2" w:rsidTr="47D907A2" w14:paraId="2C94A8B2" w14:textId="77777777">
        <w:tc>
          <w:tcPr>
            <w:cnfStyle w:val="001000000000" w:firstRow="0" w:lastRow="0" w:firstColumn="1" w:lastColumn="0" w:oddVBand="0" w:evenVBand="0" w:oddHBand="0" w:evenHBand="0" w:firstRowFirstColumn="0" w:firstRowLastColumn="0" w:lastRowFirstColumn="0" w:lastRowLastColumn="0"/>
            <w:tcW w:w="4510" w:type="dxa"/>
          </w:tcPr>
          <w:p w:rsidR="47D907A2" w:rsidP="47D907A2" w:rsidRDefault="47D907A2" w14:paraId="102D3FE9" w14:textId="6C2E9EB5">
            <w:pPr>
              <w:rPr>
                <w:b w:val="0"/>
                <w:bCs w:val="0"/>
                <w:lang w:val="en-GB"/>
              </w:rPr>
            </w:pPr>
            <w:r w:rsidRPr="47D907A2">
              <w:rPr>
                <w:b w:val="0"/>
                <w:bCs w:val="0"/>
                <w:lang w:val="en-GB"/>
              </w:rPr>
              <w:t xml:space="preserve">URL </w:t>
            </w:r>
          </w:p>
        </w:tc>
        <w:tc>
          <w:tcPr>
            <w:tcW w:w="4510" w:type="dxa"/>
          </w:tcPr>
          <w:p w:rsidR="47D907A2" w:rsidP="47D907A2" w:rsidRDefault="47D907A2" w14:paraId="01B5DF01" w14:textId="0CFF80EE">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 xml:space="preserve">Again, this removes the domain name from the URL address. </w:t>
            </w:r>
          </w:p>
        </w:tc>
      </w:tr>
      <w:tr w:rsidR="47D907A2" w:rsidTr="47D907A2" w14:paraId="15E54A84" w14:textId="77777777">
        <w:tc>
          <w:tcPr>
            <w:cnfStyle w:val="001000000000" w:firstRow="0" w:lastRow="0" w:firstColumn="1" w:lastColumn="0" w:oddVBand="0" w:evenVBand="0" w:oddHBand="0" w:evenHBand="0" w:firstRowFirstColumn="0" w:firstRowLastColumn="0" w:lastRowFirstColumn="0" w:lastRowLastColumn="0"/>
            <w:tcW w:w="4510" w:type="dxa"/>
          </w:tcPr>
          <w:p w:rsidR="47D907A2" w:rsidP="47D907A2" w:rsidRDefault="47D907A2" w14:paraId="6A1C1FD0" w14:textId="613B5D51">
            <w:pPr>
              <w:rPr>
                <w:b w:val="0"/>
                <w:bCs w:val="0"/>
                <w:lang w:val="en-GB"/>
              </w:rPr>
            </w:pPr>
            <w:r w:rsidRPr="47D907A2">
              <w:rPr>
                <w:b w:val="0"/>
                <w:bCs w:val="0"/>
                <w:lang w:val="en-GB"/>
              </w:rPr>
              <w:t xml:space="preserve">Format </w:t>
            </w:r>
          </w:p>
        </w:tc>
        <w:tc>
          <w:tcPr>
            <w:tcW w:w="4510" w:type="dxa"/>
          </w:tcPr>
          <w:p w:rsidR="47D907A2" w:rsidP="47D907A2" w:rsidRDefault="47D907A2" w14:paraId="389F24F1" w14:textId="7D3020AC">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 xml:space="preserve">If format is selected then this will remove whitespace and any special characters (e.g. *{}&gt;) from the target field. </w:t>
            </w:r>
          </w:p>
        </w:tc>
      </w:tr>
      <w:tr w:rsidR="47D907A2" w:rsidTr="47D907A2" w14:paraId="4C495CB1" w14:textId="77777777">
        <w:tc>
          <w:tcPr>
            <w:cnfStyle w:val="001000000000" w:firstRow="0" w:lastRow="0" w:firstColumn="1" w:lastColumn="0" w:oddVBand="0" w:evenVBand="0" w:oddHBand="0" w:evenHBand="0" w:firstRowFirstColumn="0" w:firstRowLastColumn="0" w:lastRowFirstColumn="0" w:lastRowLastColumn="0"/>
            <w:tcW w:w="4510" w:type="dxa"/>
          </w:tcPr>
          <w:p w:rsidR="47D907A2" w:rsidP="47D907A2" w:rsidRDefault="47D907A2" w14:paraId="39806D94" w14:textId="7F5609FB">
            <w:pPr>
              <w:rPr>
                <w:b w:val="0"/>
                <w:bCs w:val="0"/>
                <w:lang w:val="en-GB"/>
              </w:rPr>
            </w:pPr>
            <w:r w:rsidRPr="47D907A2">
              <w:rPr>
                <w:b w:val="0"/>
                <w:bCs w:val="0"/>
                <w:lang w:val="en-GB"/>
              </w:rPr>
              <w:t xml:space="preserve">Title </w:t>
            </w:r>
          </w:p>
        </w:tc>
        <w:tc>
          <w:tcPr>
            <w:tcW w:w="4510" w:type="dxa"/>
          </w:tcPr>
          <w:p w:rsidR="47D907A2" w:rsidP="47D907A2" w:rsidRDefault="47D907A2" w14:paraId="23D13A23" w14:textId="142B5400">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 xml:space="preserve">If this rule is selected then it makes sure the text in the targeted field is Title cased, for example </w:t>
            </w:r>
            <w:proofErr w:type="gramStart"/>
            <w:r w:rsidRPr="47D907A2">
              <w:rPr>
                <w:lang w:val="en-GB"/>
              </w:rPr>
              <w:t>The</w:t>
            </w:r>
            <w:proofErr w:type="gramEnd"/>
            <w:r w:rsidRPr="47D907A2">
              <w:rPr>
                <w:lang w:val="en-GB"/>
              </w:rPr>
              <w:t xml:space="preserve"> shop = The Shop. </w:t>
            </w:r>
          </w:p>
        </w:tc>
      </w:tr>
      <w:tr w:rsidR="47D907A2" w:rsidTr="47D907A2" w14:paraId="3F07C996" w14:textId="77777777">
        <w:tc>
          <w:tcPr>
            <w:cnfStyle w:val="001000000000" w:firstRow="0" w:lastRow="0" w:firstColumn="1" w:lastColumn="0" w:oddVBand="0" w:evenVBand="0" w:oddHBand="0" w:evenHBand="0" w:firstRowFirstColumn="0" w:firstRowLastColumn="0" w:lastRowFirstColumn="0" w:lastRowLastColumn="0"/>
            <w:tcW w:w="4510" w:type="dxa"/>
          </w:tcPr>
          <w:p w:rsidR="47D907A2" w:rsidP="47D907A2" w:rsidRDefault="47D907A2" w14:paraId="29318E96" w14:textId="478ECC9E">
            <w:pPr>
              <w:rPr>
                <w:b w:val="0"/>
                <w:bCs w:val="0"/>
                <w:lang w:val="en-GB"/>
              </w:rPr>
            </w:pPr>
            <w:r w:rsidRPr="47D907A2">
              <w:rPr>
                <w:b w:val="0"/>
                <w:bCs w:val="0"/>
                <w:lang w:val="en-GB"/>
              </w:rPr>
              <w:t xml:space="preserve">Title Hyphen </w:t>
            </w:r>
          </w:p>
        </w:tc>
        <w:tc>
          <w:tcPr>
            <w:tcW w:w="4510" w:type="dxa"/>
          </w:tcPr>
          <w:p w:rsidR="47D907A2" w:rsidP="47D907A2" w:rsidRDefault="47D907A2" w14:paraId="48A0C248" w14:textId="7D5F0C76">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 xml:space="preserve">This rule will ensure each word in the text for the targeted field is not only Title cased, the words are </w:t>
            </w:r>
            <w:proofErr w:type="spellStart"/>
            <w:r w:rsidRPr="47D907A2">
              <w:rPr>
                <w:lang w:val="en-GB"/>
              </w:rPr>
              <w:t>seperated</w:t>
            </w:r>
            <w:proofErr w:type="spellEnd"/>
            <w:r w:rsidRPr="47D907A2">
              <w:rPr>
                <w:lang w:val="en-GB"/>
              </w:rPr>
              <w:t xml:space="preserve"> by hyphens not spaces. The Shop will be The-Shop.</w:t>
            </w:r>
          </w:p>
        </w:tc>
      </w:tr>
      <w:tr w:rsidR="47D907A2" w:rsidTr="47D907A2" w14:paraId="25832020" w14:textId="77777777">
        <w:tc>
          <w:tcPr>
            <w:cnfStyle w:val="001000000000" w:firstRow="0" w:lastRow="0" w:firstColumn="1" w:lastColumn="0" w:oddVBand="0" w:evenVBand="0" w:oddHBand="0" w:evenHBand="0" w:firstRowFirstColumn="0" w:firstRowLastColumn="0" w:lastRowFirstColumn="0" w:lastRowLastColumn="0"/>
            <w:tcW w:w="4510" w:type="dxa"/>
          </w:tcPr>
          <w:p w:rsidR="47D907A2" w:rsidP="47D907A2" w:rsidRDefault="47D907A2" w14:paraId="61B22A53" w14:textId="5E223431">
            <w:pPr>
              <w:rPr>
                <w:b w:val="0"/>
                <w:bCs w:val="0"/>
                <w:lang w:val="en-GB"/>
              </w:rPr>
            </w:pPr>
            <w:r w:rsidRPr="47D907A2">
              <w:rPr>
                <w:b w:val="0"/>
                <w:bCs w:val="0"/>
                <w:lang w:val="en-GB"/>
              </w:rPr>
              <w:t>E164</w:t>
            </w:r>
          </w:p>
        </w:tc>
        <w:tc>
          <w:tcPr>
            <w:tcW w:w="4510" w:type="dxa"/>
          </w:tcPr>
          <w:p w:rsidR="47D907A2" w:rsidP="47D907A2" w:rsidRDefault="47D907A2" w14:paraId="0D326C46" w14:textId="4FFFD05F">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 xml:space="preserve">This rule takes the input Phone field and formats the value to the E164 </w:t>
            </w:r>
            <w:proofErr w:type="gramStart"/>
            <w:r w:rsidRPr="47D907A2">
              <w:rPr>
                <w:lang w:val="en-GB"/>
              </w:rPr>
              <w:t>format ,</w:t>
            </w:r>
            <w:proofErr w:type="gramEnd"/>
            <w:r w:rsidRPr="47D907A2">
              <w:rPr>
                <w:lang w:val="en-GB"/>
              </w:rPr>
              <w:t xml:space="preserve"> e.g. +447730780803. </w:t>
            </w:r>
          </w:p>
          <w:p w:rsidR="47D907A2" w:rsidP="47D907A2" w:rsidRDefault="47D907A2" w14:paraId="53C2C580" w14:textId="39656C52">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 xml:space="preserve">This is determined by a custom setting. The value is displayed in the Normalised Phone field within the record. </w:t>
            </w:r>
          </w:p>
        </w:tc>
      </w:tr>
    </w:tbl>
    <w:p w:rsidR="47D907A2" w:rsidP="47D907A2" w:rsidRDefault="47D907A2" w14:paraId="41F328B8" w14:textId="2F9BDD9A">
      <w:pPr>
        <w:rPr>
          <w:lang w:val="en-GB"/>
        </w:rPr>
      </w:pPr>
    </w:p>
    <w:p w:rsidR="47D907A2" w:rsidP="47D907A2" w:rsidRDefault="47D907A2" w14:paraId="586CEE70" w14:textId="2701DB13">
      <w:pPr>
        <w:rPr>
          <w:lang w:val="en-GB"/>
        </w:rPr>
      </w:pPr>
    </w:p>
    <w:p w:rsidR="47D907A2" w:rsidP="47D907A2" w:rsidRDefault="47D907A2" w14:paraId="50FBDF1A" w14:textId="6E9F324F">
      <w:pPr>
        <w:rPr>
          <w:b/>
          <w:bCs/>
          <w:lang w:val="en-GB"/>
        </w:rPr>
      </w:pPr>
      <w:r w:rsidRPr="47D907A2">
        <w:rPr>
          <w:b/>
          <w:bCs/>
          <w:lang w:val="en-GB"/>
        </w:rPr>
        <w:t>Exercise:</w:t>
      </w:r>
    </w:p>
    <w:p w:rsidR="47D907A2" w:rsidP="47D907A2" w:rsidRDefault="47D907A2" w14:paraId="436F94E0" w14:textId="01CD8D7B">
      <w:pPr>
        <w:rPr>
          <w:b/>
          <w:bCs/>
          <w:lang w:val="en-GB"/>
        </w:rPr>
      </w:pPr>
    </w:p>
    <w:p w:rsidR="47D907A2" w:rsidP="00B66BE7" w:rsidRDefault="47D907A2" w14:paraId="586BA6EF" w14:textId="1987937A">
      <w:pPr>
        <w:pStyle w:val="ListParagraph"/>
        <w:numPr>
          <w:ilvl w:val="0"/>
          <w:numId w:val="4"/>
        </w:numPr>
        <w:rPr>
          <w:rFonts w:eastAsiaTheme="minorEastAsia"/>
          <w:lang w:val="en-GB"/>
        </w:rPr>
      </w:pPr>
      <w:r w:rsidRPr="47D907A2">
        <w:rPr>
          <w:lang w:val="en-GB"/>
        </w:rPr>
        <w:t xml:space="preserve">Navigate to Setup, Develop, Custom Settings are previous. </w:t>
      </w:r>
    </w:p>
    <w:p w:rsidR="47D907A2" w:rsidP="00B66BE7" w:rsidRDefault="47D907A2" w14:paraId="4B1F77D2" w14:textId="0C0303A3">
      <w:pPr>
        <w:pStyle w:val="ListParagraph"/>
        <w:numPr>
          <w:ilvl w:val="0"/>
          <w:numId w:val="4"/>
        </w:numPr>
        <w:rPr>
          <w:rFonts w:eastAsiaTheme="minorEastAsia"/>
          <w:lang w:val="en-GB"/>
        </w:rPr>
      </w:pPr>
      <w:r w:rsidRPr="47D907A2">
        <w:rPr>
          <w:lang w:val="en-GB"/>
        </w:rPr>
        <w:t>In this example, click on ISO Country Codes, United Kingdom.</w:t>
      </w:r>
    </w:p>
    <w:p w:rsidR="47D907A2" w:rsidP="00B66BE7" w:rsidRDefault="47D907A2" w14:paraId="16907194" w14:textId="3EE54C2F">
      <w:pPr>
        <w:pStyle w:val="ListParagraph"/>
        <w:numPr>
          <w:ilvl w:val="0"/>
          <w:numId w:val="4"/>
        </w:numPr>
        <w:rPr>
          <w:rFonts w:eastAsiaTheme="minorEastAsia"/>
          <w:lang w:val="en-GB"/>
        </w:rPr>
      </w:pPr>
      <w:r w:rsidRPr="47D907A2">
        <w:rPr>
          <w:lang w:val="en-GB"/>
        </w:rPr>
        <w:t xml:space="preserve">Click on edit. </w:t>
      </w:r>
    </w:p>
    <w:p w:rsidR="47D907A2" w:rsidP="00B66BE7" w:rsidRDefault="47D907A2" w14:paraId="4C4B5FB6" w14:textId="086ED436">
      <w:pPr>
        <w:pStyle w:val="ListParagraph"/>
        <w:numPr>
          <w:ilvl w:val="0"/>
          <w:numId w:val="4"/>
        </w:numPr>
        <w:rPr>
          <w:rFonts w:eastAsiaTheme="minorEastAsia"/>
          <w:lang w:val="en-GB"/>
        </w:rPr>
      </w:pPr>
      <w:r w:rsidRPr="47D907A2">
        <w:rPr>
          <w:lang w:val="en-GB"/>
        </w:rPr>
        <w:t>You will see 3 fields that you can enter the following for:</w:t>
      </w:r>
    </w:p>
    <w:p w:rsidR="47D907A2" w:rsidP="47D907A2" w:rsidRDefault="47D907A2" w14:paraId="22ED64A9" w14:textId="1D0379B1">
      <w:pPr>
        <w:rPr>
          <w:lang w:val="en-GB"/>
        </w:rPr>
      </w:pPr>
    </w:p>
    <w:p w:rsidR="47D907A2" w:rsidP="47D907A2" w:rsidRDefault="47D907A2" w14:paraId="4D74F69A" w14:textId="5B179B3E">
      <w:pPr>
        <w:pStyle w:val="ListParagraph"/>
        <w:numPr>
          <w:ilvl w:val="0"/>
          <w:numId w:val="3"/>
        </w:numPr>
        <w:rPr>
          <w:rFonts w:eastAsiaTheme="minorEastAsia"/>
          <w:lang w:val="en-GB"/>
        </w:rPr>
      </w:pPr>
      <w:r w:rsidRPr="47D907A2">
        <w:rPr>
          <w:lang w:val="en-GB"/>
        </w:rPr>
        <w:t>International dialling code for the source country.</w:t>
      </w:r>
    </w:p>
    <w:p w:rsidR="47D907A2" w:rsidP="47D907A2" w:rsidRDefault="47D907A2" w14:paraId="033C5FC3" w14:textId="6EA9268E">
      <w:pPr>
        <w:pStyle w:val="ListParagraph"/>
        <w:numPr>
          <w:ilvl w:val="0"/>
          <w:numId w:val="3"/>
        </w:numPr>
        <w:rPr>
          <w:rFonts w:eastAsiaTheme="minorEastAsia"/>
          <w:lang w:val="en-GB"/>
        </w:rPr>
      </w:pPr>
      <w:r w:rsidRPr="47D907A2">
        <w:rPr>
          <w:lang w:val="en-GB"/>
        </w:rPr>
        <w:t>Local dialling code for the source country.</w:t>
      </w:r>
    </w:p>
    <w:p w:rsidR="47D907A2" w:rsidP="47D907A2" w:rsidRDefault="47D907A2" w14:paraId="3F528ECA" w14:textId="5B7E2DFF">
      <w:pPr>
        <w:pStyle w:val="ListParagraph"/>
        <w:numPr>
          <w:ilvl w:val="0"/>
          <w:numId w:val="3"/>
        </w:numPr>
        <w:rPr>
          <w:rFonts w:eastAsiaTheme="minorEastAsia"/>
          <w:lang w:val="en-GB"/>
        </w:rPr>
      </w:pPr>
      <w:r w:rsidRPr="47D907A2">
        <w:rPr>
          <w:lang w:val="en-GB"/>
        </w:rPr>
        <w:t>International dialling code for the target country (e.g. +44)</w:t>
      </w:r>
    </w:p>
    <w:p w:rsidR="47D907A2" w:rsidP="47D907A2" w:rsidRDefault="47D907A2" w14:paraId="24BEDC3B" w14:textId="2D03E198">
      <w:pPr>
        <w:rPr>
          <w:lang w:val="en-GB"/>
        </w:rPr>
      </w:pPr>
    </w:p>
    <w:p w:rsidR="47D907A2" w:rsidP="47D907A2" w:rsidRDefault="47D907A2" w14:paraId="57B37648" w14:textId="19D23FF4">
      <w:pPr>
        <w:rPr>
          <w:lang w:val="en-GB"/>
        </w:rPr>
      </w:pPr>
    </w:p>
    <w:p w:rsidR="47D907A2" w:rsidP="47D907A2" w:rsidRDefault="47D907A2" w14:paraId="702E8CE2" w14:textId="5A6C3F1B">
      <w:pPr>
        <w:rPr>
          <w:lang w:val="en-GB"/>
        </w:rPr>
      </w:pPr>
    </w:p>
    <w:p w:rsidR="47D907A2" w:rsidP="47D907A2" w:rsidRDefault="47D907A2" w14:paraId="705B0172" w14:textId="6BB9D3A5">
      <w:pPr>
        <w:rPr>
          <w:lang w:val="en-GB"/>
        </w:rPr>
      </w:pPr>
    </w:p>
    <w:p w:rsidR="47D907A2" w:rsidP="47D907A2" w:rsidRDefault="47D907A2" w14:paraId="15BE33CC" w14:textId="03CD27EF">
      <w:pPr>
        <w:rPr>
          <w:lang w:val="en-GB"/>
        </w:rPr>
      </w:pPr>
    </w:p>
    <w:p w:rsidR="47D907A2" w:rsidP="47D907A2" w:rsidRDefault="47D907A2" w14:paraId="6A21B4CB" w14:textId="1BF3CD87">
      <w:pPr>
        <w:rPr>
          <w:lang w:val="en-GB"/>
        </w:rPr>
      </w:pPr>
    </w:p>
    <w:p w:rsidR="47D907A2" w:rsidP="47D907A2" w:rsidRDefault="47D907A2" w14:paraId="723618B0" w14:textId="0F6D4B99">
      <w:pPr>
        <w:rPr>
          <w:lang w:val="en-GB"/>
        </w:rPr>
      </w:pPr>
    </w:p>
    <w:p w:rsidR="47D907A2" w:rsidP="47D907A2" w:rsidRDefault="47D907A2" w14:paraId="16024FCD" w14:textId="1E3E4257">
      <w:pPr>
        <w:rPr>
          <w:lang w:val="en-GB"/>
        </w:rPr>
      </w:pPr>
    </w:p>
    <w:p w:rsidR="47D907A2" w:rsidP="47D907A2" w:rsidRDefault="47D907A2" w14:paraId="5FC77027" w14:textId="6AA48991">
      <w:pPr>
        <w:rPr>
          <w:lang w:val="en-GB"/>
        </w:rPr>
      </w:pPr>
    </w:p>
    <w:p w:rsidR="47D907A2" w:rsidP="47D907A2" w:rsidRDefault="47D907A2" w14:paraId="32BC75B9" w14:textId="6D64CACC">
      <w:pPr>
        <w:rPr>
          <w:lang w:val="en-GB"/>
        </w:rPr>
      </w:pPr>
    </w:p>
    <w:p w:rsidR="47D907A2" w:rsidP="47D907A2" w:rsidRDefault="47D907A2" w14:paraId="411718C3" w14:textId="678B5351">
      <w:pPr>
        <w:rPr>
          <w:lang w:val="en-GB"/>
        </w:rPr>
      </w:pPr>
    </w:p>
    <w:p w:rsidR="47D907A2" w:rsidP="47D907A2" w:rsidRDefault="47D907A2" w14:paraId="7C65A5C4" w14:textId="28CBF226">
      <w:pPr>
        <w:rPr>
          <w:lang w:val="en-GB"/>
        </w:rPr>
      </w:pPr>
    </w:p>
    <w:p w:rsidR="47D907A2" w:rsidP="47D907A2" w:rsidRDefault="47D907A2" w14:paraId="38FEFCEA" w14:textId="3650EB54">
      <w:pPr>
        <w:rPr>
          <w:lang w:val="en-GB"/>
        </w:rPr>
      </w:pPr>
    </w:p>
    <w:p w:rsidR="47D907A2" w:rsidP="47D907A2" w:rsidRDefault="47D907A2" w14:paraId="2C8C769E" w14:textId="2218F04F">
      <w:pPr>
        <w:rPr>
          <w:lang w:val="en-GB"/>
        </w:rPr>
      </w:pPr>
    </w:p>
    <w:p w:rsidR="47D907A2" w:rsidP="47D907A2" w:rsidRDefault="47D907A2" w14:paraId="07D9C92B" w14:textId="28F8592B">
      <w:pPr>
        <w:pStyle w:val="Heading2"/>
        <w:rPr>
          <w:b/>
          <w:bCs/>
          <w:color w:val="auto"/>
          <w:lang w:val="en-GB"/>
        </w:rPr>
      </w:pPr>
      <w:bookmarkStart w:name="_Toc516663299" w:id="5"/>
      <w:r w:rsidRPr="47D907A2">
        <w:rPr>
          <w:b/>
          <w:bCs/>
          <w:color w:val="auto"/>
          <w:lang w:val="en-GB"/>
        </w:rPr>
        <w:lastRenderedPageBreak/>
        <w:t xml:space="preserve">Step 2 – Setting the rules up in </w:t>
      </w:r>
      <w:proofErr w:type="spellStart"/>
      <w:r w:rsidRPr="47D907A2">
        <w:rPr>
          <w:b/>
          <w:bCs/>
          <w:color w:val="auto"/>
          <w:lang w:val="en-GB"/>
        </w:rPr>
        <w:t>clearMDM</w:t>
      </w:r>
      <w:bookmarkEnd w:id="5"/>
      <w:proofErr w:type="spellEnd"/>
    </w:p>
    <w:p w:rsidR="47D907A2" w:rsidP="47D907A2" w:rsidRDefault="47D907A2" w14:paraId="1816C7B0" w14:textId="0D790F4F">
      <w:pPr>
        <w:rPr>
          <w:lang w:val="en-GB"/>
        </w:rPr>
      </w:pPr>
    </w:p>
    <w:p w:rsidR="47D907A2" w:rsidP="47D907A2" w:rsidRDefault="47D907A2" w14:paraId="347B50D3" w14:textId="33152BE7">
      <w:pPr>
        <w:rPr>
          <w:lang w:val="en-GB"/>
        </w:rPr>
      </w:pPr>
      <w:r w:rsidRPr="47D907A2">
        <w:rPr>
          <w:lang w:val="en-GB"/>
        </w:rPr>
        <w:t xml:space="preserve">Now that the fields and the rules to be applied to these fields have been determined, then this information needs adding into </w:t>
      </w:r>
      <w:proofErr w:type="spellStart"/>
      <w:r w:rsidRPr="47D907A2">
        <w:rPr>
          <w:lang w:val="en-GB"/>
        </w:rPr>
        <w:t>clearMDM</w:t>
      </w:r>
      <w:proofErr w:type="spellEnd"/>
      <w:r w:rsidRPr="47D907A2">
        <w:rPr>
          <w:lang w:val="en-GB"/>
        </w:rPr>
        <w:t xml:space="preserve">. </w:t>
      </w:r>
    </w:p>
    <w:p w:rsidR="47D907A2" w:rsidP="47D907A2" w:rsidRDefault="47D907A2" w14:paraId="437FA696" w14:textId="2ABA11AB">
      <w:pPr>
        <w:rPr>
          <w:lang w:val="en-GB"/>
        </w:rPr>
      </w:pPr>
    </w:p>
    <w:p w:rsidR="47D907A2" w:rsidP="47D907A2" w:rsidRDefault="47D907A2" w14:paraId="6C4FD671" w14:textId="1B8882DB">
      <w:pPr>
        <w:rPr>
          <w:b/>
          <w:bCs/>
          <w:lang w:val="en-GB"/>
        </w:rPr>
      </w:pPr>
      <w:r w:rsidRPr="47D907A2">
        <w:rPr>
          <w:b/>
          <w:bCs/>
          <w:lang w:val="en-GB"/>
        </w:rPr>
        <w:t>Exercise:</w:t>
      </w:r>
    </w:p>
    <w:p w:rsidR="47D907A2" w:rsidP="47D907A2" w:rsidRDefault="47D907A2" w14:paraId="708D8CA5" w14:textId="1A6210D4">
      <w:pPr>
        <w:rPr>
          <w:b/>
          <w:bCs/>
          <w:lang w:val="en-GB"/>
        </w:rPr>
      </w:pPr>
    </w:p>
    <w:p w:rsidR="47D907A2" w:rsidP="47D907A2" w:rsidRDefault="47D907A2" w14:paraId="18C6C89B" w14:textId="2383B142">
      <w:pPr>
        <w:pStyle w:val="ListParagraph"/>
        <w:numPr>
          <w:ilvl w:val="0"/>
          <w:numId w:val="2"/>
        </w:numPr>
        <w:rPr>
          <w:rFonts w:eastAsiaTheme="minorEastAsia"/>
          <w:lang w:val="en-GB"/>
        </w:rPr>
      </w:pPr>
      <w:r w:rsidRPr="47D907A2">
        <w:rPr>
          <w:lang w:val="en-GB"/>
        </w:rPr>
        <w:t xml:space="preserve">Within your Salesforce Sandbox, navigate to Settings. </w:t>
      </w:r>
    </w:p>
    <w:p w:rsidR="47D907A2" w:rsidP="47D907A2" w:rsidRDefault="47D907A2" w14:paraId="4F0E5634" w14:textId="3C459367">
      <w:pPr>
        <w:pStyle w:val="ListParagraph"/>
        <w:numPr>
          <w:ilvl w:val="0"/>
          <w:numId w:val="2"/>
        </w:numPr>
        <w:rPr>
          <w:rFonts w:eastAsiaTheme="minorEastAsia"/>
          <w:lang w:val="en-GB"/>
        </w:rPr>
      </w:pPr>
      <w:r w:rsidRPr="47D907A2">
        <w:rPr>
          <w:lang w:val="en-GB"/>
        </w:rPr>
        <w:t>Click on Target Objects.</w:t>
      </w:r>
    </w:p>
    <w:p w:rsidR="47D907A2" w:rsidP="47D907A2" w:rsidRDefault="47D907A2" w14:paraId="39E7092B" w14:textId="13F8815D">
      <w:pPr>
        <w:pStyle w:val="ListParagraph"/>
        <w:numPr>
          <w:ilvl w:val="0"/>
          <w:numId w:val="2"/>
        </w:numPr>
        <w:rPr>
          <w:rFonts w:eastAsiaTheme="minorEastAsia"/>
          <w:lang w:val="en-GB"/>
        </w:rPr>
      </w:pPr>
      <w:r w:rsidRPr="47D907A2">
        <w:rPr>
          <w:lang w:val="en-GB"/>
        </w:rPr>
        <w:t xml:space="preserve">Select the Target Object that these rules apply to. For this exercise use Person Account. </w:t>
      </w:r>
    </w:p>
    <w:p w:rsidR="47D907A2" w:rsidP="47D907A2" w:rsidRDefault="47D907A2" w14:paraId="2AB0F5F3" w14:textId="3B9A8907">
      <w:pPr>
        <w:pStyle w:val="ListParagraph"/>
        <w:numPr>
          <w:ilvl w:val="0"/>
          <w:numId w:val="2"/>
        </w:numPr>
        <w:rPr>
          <w:rFonts w:eastAsiaTheme="minorEastAsia"/>
          <w:lang w:val="en-GB"/>
        </w:rPr>
      </w:pPr>
      <w:r w:rsidRPr="47D907A2">
        <w:rPr>
          <w:lang w:val="en-GB"/>
        </w:rPr>
        <w:t xml:space="preserve">Scroll to the bottom of the page where the Rules section is. </w:t>
      </w:r>
    </w:p>
    <w:p w:rsidR="47D907A2" w:rsidP="47D907A2" w:rsidRDefault="47D907A2" w14:paraId="45ECBB7C" w14:textId="33D48487">
      <w:pPr>
        <w:pStyle w:val="ListParagraph"/>
        <w:numPr>
          <w:ilvl w:val="0"/>
          <w:numId w:val="2"/>
        </w:numPr>
        <w:rPr>
          <w:rFonts w:eastAsiaTheme="minorEastAsia"/>
          <w:lang w:val="en-GB"/>
        </w:rPr>
      </w:pPr>
      <w:r w:rsidRPr="47D907A2">
        <w:rPr>
          <w:lang w:val="en-GB"/>
        </w:rPr>
        <w:t>Within this section, add the target fields and rules pre-determined in step 1.</w:t>
      </w:r>
    </w:p>
    <w:p w:rsidR="47D907A2" w:rsidP="47D907A2" w:rsidRDefault="47D907A2" w14:paraId="675673F7" w14:textId="1C0F1A2B">
      <w:pPr>
        <w:pStyle w:val="ListParagraph"/>
        <w:numPr>
          <w:ilvl w:val="0"/>
          <w:numId w:val="2"/>
        </w:numPr>
        <w:rPr>
          <w:rFonts w:eastAsiaTheme="minorEastAsia"/>
          <w:lang w:val="en-GB"/>
        </w:rPr>
      </w:pPr>
      <w:r w:rsidRPr="47D907A2">
        <w:rPr>
          <w:lang w:val="en-GB"/>
        </w:rPr>
        <w:t xml:space="preserve">Ensure 'The is active?' is checked. </w:t>
      </w:r>
    </w:p>
    <w:p w:rsidR="47D907A2" w:rsidP="47D907A2" w:rsidRDefault="47D907A2" w14:paraId="6156EF8F" w14:textId="6CB5634D">
      <w:pPr>
        <w:pStyle w:val="ListParagraph"/>
        <w:numPr>
          <w:ilvl w:val="0"/>
          <w:numId w:val="2"/>
        </w:numPr>
        <w:rPr>
          <w:rFonts w:eastAsiaTheme="minorEastAsia"/>
          <w:lang w:val="en-GB"/>
        </w:rPr>
      </w:pPr>
      <w:r w:rsidRPr="47D907A2">
        <w:rPr>
          <w:lang w:val="en-GB"/>
        </w:rPr>
        <w:t>The match type needs to be set to fuzzy.</w:t>
      </w:r>
    </w:p>
    <w:p w:rsidR="47D907A2" w:rsidP="47D907A2" w:rsidRDefault="47D907A2" w14:paraId="10DB49FA" w14:textId="2D3EFC56">
      <w:pPr>
        <w:rPr>
          <w:lang w:val="en-GB"/>
        </w:rPr>
      </w:pPr>
    </w:p>
    <w:p w:rsidR="47D907A2" w:rsidP="47D907A2" w:rsidRDefault="47D907A2" w14:paraId="44C222B5" w14:textId="3E647190">
      <w:pPr>
        <w:pStyle w:val="Heading2"/>
        <w:rPr>
          <w:b/>
          <w:bCs/>
          <w:color w:val="auto"/>
          <w:lang w:val="en-GB"/>
        </w:rPr>
      </w:pPr>
      <w:bookmarkStart w:name="_Toc516663300" w:id="6"/>
      <w:r w:rsidRPr="47D907A2">
        <w:rPr>
          <w:b/>
          <w:bCs/>
          <w:color w:val="auto"/>
          <w:lang w:val="en-GB"/>
        </w:rPr>
        <w:t>Step 3 – Blocking Key</w:t>
      </w:r>
      <w:bookmarkEnd w:id="6"/>
    </w:p>
    <w:p w:rsidR="47D907A2" w:rsidP="47D907A2" w:rsidRDefault="47D907A2" w14:paraId="6B21E48F" w14:textId="53D12A78">
      <w:pPr>
        <w:rPr>
          <w:lang w:val="en-GB"/>
        </w:rPr>
      </w:pPr>
    </w:p>
    <w:p w:rsidR="47D907A2" w:rsidP="47D907A2" w:rsidRDefault="47D907A2" w14:paraId="7078BC1A" w14:textId="06D2533A">
      <w:pPr>
        <w:rPr>
          <w:lang w:val="en-GB"/>
        </w:rPr>
      </w:pPr>
      <w:r w:rsidRPr="47D907A2">
        <w:rPr>
          <w:lang w:val="en-GB"/>
        </w:rPr>
        <w:t xml:space="preserve">Once the standardised fields have been set, the blocking key also needs to be set. This is also known as the Matching Key and is the first step in providing the initial grouping of records to which matching rules are applied. When a record is normalised, it has the Blocking Key set, based upon characters taken from up to 3 fields. If a record does not have a blocking key, it is not matched at all, so it is very important the blocking key is set correctly. </w:t>
      </w:r>
    </w:p>
    <w:p w:rsidR="47D907A2" w:rsidP="47D907A2" w:rsidRDefault="47D907A2" w14:paraId="6FD78F46" w14:textId="7FDDEBE9">
      <w:pPr>
        <w:rPr>
          <w:lang w:val="en-GB"/>
        </w:rPr>
      </w:pPr>
    </w:p>
    <w:p w:rsidR="47D907A2" w:rsidP="47D907A2" w:rsidRDefault="47D907A2" w14:paraId="03A39C4C" w14:textId="65D14441">
      <w:pPr>
        <w:rPr>
          <w:lang w:val="en-GB"/>
        </w:rPr>
      </w:pPr>
      <w:r w:rsidRPr="47D907A2">
        <w:rPr>
          <w:lang w:val="en-GB"/>
        </w:rPr>
        <w:t xml:space="preserve">When setting the blocking key, you will be asked to identify up to 3 fields to take this information from. Ideally this needs to be fields that do not change frequently, i.e. Last Name. Then you will be asked to complete the number of characters to be taken from that field. </w:t>
      </w:r>
    </w:p>
    <w:p w:rsidR="47D907A2" w:rsidP="47D907A2" w:rsidRDefault="47D907A2" w14:paraId="1A6B4684" w14:textId="512E06E7">
      <w:pPr>
        <w:rPr>
          <w:lang w:val="en-GB"/>
        </w:rPr>
      </w:pPr>
    </w:p>
    <w:p w:rsidR="47D907A2" w:rsidP="47D907A2" w:rsidRDefault="47D907A2" w14:paraId="5F1108FD" w14:textId="143138AF">
      <w:pPr>
        <w:rPr>
          <w:b/>
          <w:bCs/>
          <w:lang w:val="en-GB"/>
        </w:rPr>
      </w:pPr>
      <w:r w:rsidRPr="47D907A2">
        <w:rPr>
          <w:b/>
          <w:bCs/>
          <w:lang w:val="en-GB"/>
        </w:rPr>
        <w:t>Exercise:</w:t>
      </w:r>
    </w:p>
    <w:p w:rsidR="47D907A2" w:rsidP="47D907A2" w:rsidRDefault="47D907A2" w14:paraId="35153BC6" w14:textId="055B78F0">
      <w:pPr>
        <w:rPr>
          <w:lang w:val="en-GB"/>
        </w:rPr>
      </w:pPr>
    </w:p>
    <w:p w:rsidR="47D907A2" w:rsidP="47D907A2" w:rsidRDefault="47D907A2" w14:paraId="7C0BF290" w14:textId="114D95E0">
      <w:pPr>
        <w:pStyle w:val="ListParagraph"/>
        <w:numPr>
          <w:ilvl w:val="0"/>
          <w:numId w:val="1"/>
        </w:numPr>
        <w:rPr>
          <w:rFonts w:eastAsiaTheme="minorEastAsia"/>
          <w:lang w:val="en-GB"/>
        </w:rPr>
      </w:pPr>
      <w:r w:rsidRPr="47D907A2">
        <w:rPr>
          <w:lang w:val="en-GB"/>
        </w:rPr>
        <w:t xml:space="preserve">Within your Salesforce Sandbox, navigate to settings. </w:t>
      </w:r>
    </w:p>
    <w:p w:rsidR="47D907A2" w:rsidP="47D907A2" w:rsidRDefault="47D907A2" w14:paraId="784DB33A" w14:textId="1ACAB962">
      <w:pPr>
        <w:pStyle w:val="ListParagraph"/>
        <w:numPr>
          <w:ilvl w:val="0"/>
          <w:numId w:val="1"/>
        </w:numPr>
        <w:rPr>
          <w:rFonts w:eastAsiaTheme="minorEastAsia"/>
          <w:lang w:val="en-GB"/>
        </w:rPr>
      </w:pPr>
      <w:r w:rsidRPr="47D907A2">
        <w:rPr>
          <w:lang w:val="en-GB"/>
        </w:rPr>
        <w:t>Select Target Objects.</w:t>
      </w:r>
    </w:p>
    <w:p w:rsidR="47D907A2" w:rsidP="47D907A2" w:rsidRDefault="47D907A2" w14:paraId="308E3BB4" w14:textId="205B015A">
      <w:pPr>
        <w:pStyle w:val="ListParagraph"/>
        <w:numPr>
          <w:ilvl w:val="0"/>
          <w:numId w:val="1"/>
        </w:numPr>
        <w:rPr>
          <w:rFonts w:eastAsiaTheme="minorEastAsia"/>
          <w:lang w:val="en-GB"/>
        </w:rPr>
      </w:pPr>
      <w:r w:rsidRPr="47D907A2">
        <w:rPr>
          <w:lang w:val="en-GB"/>
        </w:rPr>
        <w:t xml:space="preserve">Click edit next to the Target Object, in this case Person Account. </w:t>
      </w:r>
    </w:p>
    <w:p w:rsidR="47D907A2" w:rsidP="47D907A2" w:rsidRDefault="47D907A2" w14:paraId="03A6E4A0" w14:textId="7D1EEF1E">
      <w:pPr>
        <w:pStyle w:val="ListParagraph"/>
        <w:numPr>
          <w:ilvl w:val="0"/>
          <w:numId w:val="1"/>
        </w:numPr>
        <w:rPr>
          <w:rFonts w:eastAsiaTheme="minorEastAsia"/>
          <w:lang w:val="en-GB"/>
        </w:rPr>
      </w:pPr>
      <w:r w:rsidRPr="47D907A2">
        <w:rPr>
          <w:lang w:val="en-GB"/>
        </w:rPr>
        <w:t>Select the relevant input field name from the dropdown.</w:t>
      </w:r>
    </w:p>
    <w:p w:rsidR="47D907A2" w:rsidP="47D907A2" w:rsidRDefault="47D907A2" w14:paraId="12EA4048" w14:textId="0CD6697B">
      <w:pPr>
        <w:pStyle w:val="ListParagraph"/>
        <w:numPr>
          <w:ilvl w:val="0"/>
          <w:numId w:val="1"/>
        </w:numPr>
        <w:rPr>
          <w:rFonts w:eastAsiaTheme="minorEastAsia"/>
          <w:lang w:val="en-GB"/>
        </w:rPr>
      </w:pPr>
      <w:r w:rsidRPr="47D907A2">
        <w:rPr>
          <w:lang w:val="en-GB"/>
        </w:rPr>
        <w:t xml:space="preserve">Enter the length of the blocking key for that input field (how many characters do you want to take from the field content). </w:t>
      </w:r>
    </w:p>
    <w:p w:rsidR="47D907A2" w:rsidP="697A18D9" w:rsidRDefault="47D907A2" w14:paraId="3235DFB9" w14:noSpellErr="1" w14:textId="1CD7A546">
      <w:pPr>
        <w:pStyle w:val="ListParagraph"/>
        <w:numPr>
          <w:ilvl w:val="0"/>
          <w:numId w:val="1"/>
        </w:numPr>
        <w:rPr>
          <w:rFonts w:ascii="ＭＳ 明朝" w:hAnsi="ＭＳ 明朝" w:eastAsia="ＭＳ 明朝" w:cs="ＭＳ 明朝" w:asciiTheme="minorEastAsia" w:hAnsiTheme="minorEastAsia" w:eastAsiaTheme="minorEastAsia" w:cstheme="minorEastAsia"/>
          <w:lang w:val="en-GB"/>
        </w:rPr>
      </w:pPr>
      <w:r w:rsidRPr="697A18D9" w:rsidR="697A18D9">
        <w:rPr>
          <w:lang w:val="en-GB"/>
        </w:rPr>
        <w:t xml:space="preserve">Enter this also for the other two blocking key input </w:t>
      </w:r>
      <w:proofErr w:type="gramStart"/>
      <w:r w:rsidRPr="697A18D9" w:rsidR="697A18D9">
        <w:rPr>
          <w:lang w:val="en-GB"/>
        </w:rPr>
        <w:t>fields,</w:t>
      </w:r>
      <w:r w:rsidRPr="697A18D9" w:rsidR="697A18D9">
        <w:rPr>
          <w:lang w:val="en-GB"/>
        </w:rPr>
        <w:t xml:space="preserve"> </w:t>
      </w:r>
      <w:r w:rsidRPr="697A18D9" w:rsidR="697A18D9">
        <w:rPr>
          <w:lang w:val="en-GB"/>
        </w:rPr>
        <w:t>or</w:t>
      </w:r>
      <w:proofErr w:type="gramEnd"/>
      <w:r w:rsidRPr="697A18D9" w:rsidR="697A18D9">
        <w:rPr>
          <w:lang w:val="en-GB"/>
        </w:rPr>
        <w:t xml:space="preserve"> leave as it is if only one field applies.</w:t>
      </w:r>
    </w:p>
    <w:p w:rsidR="47D907A2" w:rsidP="47D907A2" w:rsidRDefault="47D907A2" w14:paraId="4EBA80BE" w14:textId="2203234F">
      <w:pPr>
        <w:pStyle w:val="ListParagraph"/>
        <w:numPr>
          <w:ilvl w:val="0"/>
          <w:numId w:val="1"/>
        </w:numPr>
        <w:rPr>
          <w:rFonts w:eastAsiaTheme="minorEastAsia"/>
          <w:lang w:val="en-GB"/>
        </w:rPr>
      </w:pPr>
      <w:r w:rsidRPr="47D907A2">
        <w:rPr>
          <w:lang w:val="en-GB"/>
        </w:rPr>
        <w:t>Save the changes.</w:t>
      </w:r>
    </w:p>
    <w:p w:rsidR="47D907A2" w:rsidP="47D907A2" w:rsidRDefault="47D907A2" w14:paraId="6EF4A8AF" w14:textId="2BDE6447">
      <w:pPr>
        <w:rPr>
          <w:lang w:val="en-GB"/>
        </w:rPr>
      </w:pPr>
    </w:p>
    <w:p w:rsidR="47D907A2" w:rsidP="47D907A2" w:rsidRDefault="47D907A2" w14:paraId="2EFBBD80" w14:textId="6B67E969">
      <w:pPr>
        <w:rPr>
          <w:lang w:val="en-GB"/>
        </w:rPr>
      </w:pPr>
    </w:p>
    <w:p w:rsidR="47D907A2" w:rsidP="47D907A2" w:rsidRDefault="47D907A2" w14:paraId="11BA00CE" w14:textId="3052EBCD">
      <w:pPr>
        <w:rPr>
          <w:lang w:val="en-GB"/>
        </w:rPr>
      </w:pPr>
    </w:p>
    <w:p w:rsidR="47D907A2" w:rsidP="47D907A2" w:rsidRDefault="47D907A2" w14:paraId="0F958151" w14:textId="4BD6DBE6">
      <w:pPr>
        <w:rPr>
          <w:lang w:val="en-GB"/>
        </w:rPr>
      </w:pPr>
    </w:p>
    <w:p w:rsidR="47D907A2" w:rsidP="47D907A2" w:rsidRDefault="47D907A2" w14:paraId="3CA3758A" w14:textId="5FCCEF36">
      <w:pPr>
        <w:rPr>
          <w:lang w:val="en-GB"/>
        </w:rPr>
      </w:pPr>
    </w:p>
    <w:p w:rsidR="47D907A2" w:rsidP="47D907A2" w:rsidRDefault="47D907A2" w14:paraId="039535DB" w14:textId="3692CB76">
      <w:pPr>
        <w:rPr>
          <w:lang w:val="en-GB"/>
        </w:rPr>
      </w:pPr>
    </w:p>
    <w:p w:rsidR="47D907A2" w:rsidP="47D907A2" w:rsidRDefault="47D907A2" w14:paraId="36B9EF97" w14:textId="5407DC3D">
      <w:pPr>
        <w:rPr>
          <w:lang w:val="en-GB"/>
        </w:rPr>
      </w:pPr>
    </w:p>
    <w:p w:rsidR="47D907A2" w:rsidP="47D907A2" w:rsidRDefault="47D907A2" w14:paraId="4140DF27" w14:textId="65488E4D">
      <w:pPr>
        <w:rPr>
          <w:lang w:val="en-GB"/>
        </w:rPr>
      </w:pPr>
      <w:r w:rsidRPr="47D907A2">
        <w:rPr>
          <w:lang w:val="en-GB"/>
        </w:rPr>
        <w:t xml:space="preserve">The normalisation standard rules and the blocking key have now been setup. To run the normalisation job, refer to the Jobs Training Module. </w:t>
      </w:r>
    </w:p>
    <w:p w:rsidR="47D907A2" w:rsidP="47D907A2" w:rsidRDefault="47D907A2" w14:paraId="2FB40B40" w14:textId="72F1CA58">
      <w:pPr>
        <w:rPr>
          <w:lang w:val="en-GB"/>
        </w:rPr>
      </w:pPr>
    </w:p>
    <w:p w:rsidR="47D907A2" w:rsidP="47D907A2" w:rsidRDefault="47D907A2" w14:paraId="715C8D46" w14:textId="68E83B33">
      <w:pPr>
        <w:rPr>
          <w:lang w:val="en-GB"/>
        </w:rPr>
      </w:pPr>
      <w:r w:rsidRPr="47D907A2">
        <w:rPr>
          <w:lang w:val="en-GB"/>
        </w:rPr>
        <w:t>This concludes the Normalisation Training Module.</w:t>
      </w:r>
    </w:p>
    <w:sectPr w:rsidR="47D907A2" w:rsidSect="00C72C5B">
      <w:headerReference w:type="default" r:id="rId8"/>
      <w:footerReference w:type="even" r:id="rId9"/>
      <w:footerReference w:type="default" r:id="rId10"/>
      <w:footerReference w:type="first" r:id="rId11"/>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E33" w:rsidP="00163A4A" w:rsidRDefault="006E4E33" w14:paraId="6CDFD083" w14:textId="77777777">
      <w:r>
        <w:separator/>
      </w:r>
    </w:p>
  </w:endnote>
  <w:endnote w:type="continuationSeparator" w:id="0">
    <w:p w:rsidR="006E4E33" w:rsidP="00163A4A" w:rsidRDefault="006E4E33" w14:paraId="3516976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210" w:rsidP="002A276A" w:rsidRDefault="002E3210" w14:paraId="3BADAD2A"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210" w:rsidP="00C72C5B" w:rsidRDefault="002E3210" w14:paraId="289ED4C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72C5B" w:rsidR="002E3210" w:rsidP="00C72C5B" w:rsidRDefault="002E3210" w14:paraId="10D903CB" w14:textId="77777777">
    <w:pPr>
      <w:pStyle w:val="Footer"/>
      <w:framePr w:wrap="none" w:hAnchor="margin" w:vAnchor="text"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rsidRPr="00C72C5B" w:rsidR="002E3210" w:rsidP="00C72C5B" w:rsidRDefault="002E3210" w14:paraId="116A2F3D" w14:textId="6E19B32A">
    <w:pPr>
      <w:pStyle w:val="Footer"/>
      <w:ind w:right="360"/>
      <w:rPr>
        <w:sz w:val="16"/>
        <w:lang w:val="en-GB"/>
      </w:rP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210" w:rsidRDefault="002E3210" w14:paraId="404A1AE8" w14:textId="475AC1D2">
    <w:pPr>
      <w:pStyle w:val="Foote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E33" w:rsidP="00163A4A" w:rsidRDefault="006E4E33" w14:paraId="3B648553" w14:textId="77777777">
      <w:r>
        <w:separator/>
      </w:r>
    </w:p>
  </w:footnote>
  <w:footnote w:type="continuationSeparator" w:id="0">
    <w:p w:rsidR="006E4E33" w:rsidP="00163A4A" w:rsidRDefault="006E4E33" w14:paraId="4655FF7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E3210" w:rsidRDefault="002E3210" w14:paraId="04A67A5A" w14:textId="3D00A054">
    <w:pPr>
      <w:pStyle w:val="Header"/>
    </w:pPr>
    <w:r>
      <w:rPr>
        <w:noProof/>
      </w:rPr>
      <w:drawing>
        <wp:inline distT="0" distB="0" distL="0" distR="0" wp14:anchorId="5C139B71" wp14:editId="31FFDDBF">
          <wp:extent cx="2129538" cy="278587"/>
          <wp:effectExtent l="0" t="0" r="4445" b="1270"/>
          <wp:docPr id="17084875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889"/>
    <w:multiLevelType w:val="hybridMultilevel"/>
    <w:tmpl w:val="8A4C2376"/>
    <w:lvl w:ilvl="0" w:tplc="F188907C">
      <w:start w:val="1"/>
      <w:numFmt w:val="decimal"/>
      <w:lvlText w:val="%1."/>
      <w:lvlJc w:val="left"/>
      <w:pPr>
        <w:ind w:left="720" w:hanging="360"/>
      </w:pPr>
    </w:lvl>
    <w:lvl w:ilvl="1" w:tplc="8B02310C">
      <w:start w:val="1"/>
      <w:numFmt w:val="lowerLetter"/>
      <w:lvlText w:val="%2."/>
      <w:lvlJc w:val="left"/>
      <w:pPr>
        <w:ind w:left="1440" w:hanging="360"/>
      </w:pPr>
    </w:lvl>
    <w:lvl w:ilvl="2" w:tplc="08F89716">
      <w:start w:val="1"/>
      <w:numFmt w:val="lowerRoman"/>
      <w:lvlText w:val="%3."/>
      <w:lvlJc w:val="right"/>
      <w:pPr>
        <w:ind w:left="2160" w:hanging="180"/>
      </w:pPr>
    </w:lvl>
    <w:lvl w:ilvl="3" w:tplc="D2F808FA">
      <w:start w:val="1"/>
      <w:numFmt w:val="decimal"/>
      <w:lvlText w:val="%4."/>
      <w:lvlJc w:val="left"/>
      <w:pPr>
        <w:ind w:left="2880" w:hanging="360"/>
      </w:pPr>
    </w:lvl>
    <w:lvl w:ilvl="4" w:tplc="A1744976">
      <w:start w:val="1"/>
      <w:numFmt w:val="lowerLetter"/>
      <w:lvlText w:val="%5."/>
      <w:lvlJc w:val="left"/>
      <w:pPr>
        <w:ind w:left="3600" w:hanging="360"/>
      </w:pPr>
    </w:lvl>
    <w:lvl w:ilvl="5" w:tplc="C562BA1C">
      <w:start w:val="1"/>
      <w:numFmt w:val="lowerRoman"/>
      <w:lvlText w:val="%6."/>
      <w:lvlJc w:val="right"/>
      <w:pPr>
        <w:ind w:left="4320" w:hanging="180"/>
      </w:pPr>
    </w:lvl>
    <w:lvl w:ilvl="6" w:tplc="5844BD9C">
      <w:start w:val="1"/>
      <w:numFmt w:val="decimal"/>
      <w:lvlText w:val="%7."/>
      <w:lvlJc w:val="left"/>
      <w:pPr>
        <w:ind w:left="5040" w:hanging="360"/>
      </w:pPr>
    </w:lvl>
    <w:lvl w:ilvl="7" w:tplc="7BA6FA28">
      <w:start w:val="1"/>
      <w:numFmt w:val="lowerLetter"/>
      <w:lvlText w:val="%8."/>
      <w:lvlJc w:val="left"/>
      <w:pPr>
        <w:ind w:left="5760" w:hanging="360"/>
      </w:pPr>
    </w:lvl>
    <w:lvl w:ilvl="8" w:tplc="983CE230">
      <w:start w:val="1"/>
      <w:numFmt w:val="lowerRoman"/>
      <w:lvlText w:val="%9."/>
      <w:lvlJc w:val="right"/>
      <w:pPr>
        <w:ind w:left="6480" w:hanging="180"/>
      </w:pPr>
    </w:lvl>
  </w:abstractNum>
  <w:abstractNum w:abstractNumId="1" w15:restartNumberingAfterBreak="0">
    <w:nsid w:val="06DD0A67"/>
    <w:multiLevelType w:val="hybridMultilevel"/>
    <w:tmpl w:val="64766682"/>
    <w:lvl w:ilvl="0" w:tplc="0218B1CC">
      <w:start w:val="1"/>
      <w:numFmt w:val="decimal"/>
      <w:lvlText w:val="%1."/>
      <w:lvlJc w:val="left"/>
      <w:pPr>
        <w:ind w:left="720" w:hanging="360"/>
      </w:pPr>
    </w:lvl>
    <w:lvl w:ilvl="1" w:tplc="720A53D6">
      <w:start w:val="1"/>
      <w:numFmt w:val="lowerLetter"/>
      <w:lvlText w:val="%2."/>
      <w:lvlJc w:val="left"/>
      <w:pPr>
        <w:ind w:left="1440" w:hanging="360"/>
      </w:pPr>
    </w:lvl>
    <w:lvl w:ilvl="2" w:tplc="AED6D4F2">
      <w:start w:val="1"/>
      <w:numFmt w:val="lowerRoman"/>
      <w:lvlText w:val="%3."/>
      <w:lvlJc w:val="right"/>
      <w:pPr>
        <w:ind w:left="2160" w:hanging="180"/>
      </w:pPr>
    </w:lvl>
    <w:lvl w:ilvl="3" w:tplc="063EEC1C">
      <w:start w:val="1"/>
      <w:numFmt w:val="decimal"/>
      <w:lvlText w:val="%4."/>
      <w:lvlJc w:val="left"/>
      <w:pPr>
        <w:ind w:left="2880" w:hanging="360"/>
      </w:pPr>
    </w:lvl>
    <w:lvl w:ilvl="4" w:tplc="9B20C258">
      <w:start w:val="1"/>
      <w:numFmt w:val="lowerLetter"/>
      <w:lvlText w:val="%5."/>
      <w:lvlJc w:val="left"/>
      <w:pPr>
        <w:ind w:left="3600" w:hanging="360"/>
      </w:pPr>
    </w:lvl>
    <w:lvl w:ilvl="5" w:tplc="1FC0678A">
      <w:start w:val="1"/>
      <w:numFmt w:val="lowerRoman"/>
      <w:lvlText w:val="%6."/>
      <w:lvlJc w:val="right"/>
      <w:pPr>
        <w:ind w:left="4320" w:hanging="180"/>
      </w:pPr>
    </w:lvl>
    <w:lvl w:ilvl="6" w:tplc="ADF4D928">
      <w:start w:val="1"/>
      <w:numFmt w:val="decimal"/>
      <w:lvlText w:val="%7."/>
      <w:lvlJc w:val="left"/>
      <w:pPr>
        <w:ind w:left="5040" w:hanging="360"/>
      </w:pPr>
    </w:lvl>
    <w:lvl w:ilvl="7" w:tplc="67EA0A82">
      <w:start w:val="1"/>
      <w:numFmt w:val="lowerLetter"/>
      <w:lvlText w:val="%8."/>
      <w:lvlJc w:val="left"/>
      <w:pPr>
        <w:ind w:left="5760" w:hanging="360"/>
      </w:pPr>
    </w:lvl>
    <w:lvl w:ilvl="8" w:tplc="9B50C3DE">
      <w:start w:val="1"/>
      <w:numFmt w:val="lowerRoman"/>
      <w:lvlText w:val="%9."/>
      <w:lvlJc w:val="right"/>
      <w:pPr>
        <w:ind w:left="6480" w:hanging="180"/>
      </w:pPr>
    </w:lvl>
  </w:abstractNum>
  <w:abstractNum w:abstractNumId="2" w15:restartNumberingAfterBreak="0">
    <w:nsid w:val="37992A1C"/>
    <w:multiLevelType w:val="hybridMultilevel"/>
    <w:tmpl w:val="3DB4A3BA"/>
    <w:lvl w:ilvl="0" w:tplc="BCE8C348">
      <w:start w:val="1"/>
      <w:numFmt w:val="decimal"/>
      <w:lvlText w:val="%1."/>
      <w:lvlJc w:val="left"/>
      <w:pPr>
        <w:ind w:left="720" w:hanging="360"/>
      </w:pPr>
    </w:lvl>
    <w:lvl w:ilvl="1" w:tplc="2FD2FB92">
      <w:start w:val="1"/>
      <w:numFmt w:val="lowerLetter"/>
      <w:lvlText w:val="%2."/>
      <w:lvlJc w:val="left"/>
      <w:pPr>
        <w:ind w:left="1440" w:hanging="360"/>
      </w:pPr>
    </w:lvl>
    <w:lvl w:ilvl="2" w:tplc="9FFAE170">
      <w:start w:val="1"/>
      <w:numFmt w:val="lowerRoman"/>
      <w:lvlText w:val="%3."/>
      <w:lvlJc w:val="right"/>
      <w:pPr>
        <w:ind w:left="2160" w:hanging="180"/>
      </w:pPr>
    </w:lvl>
    <w:lvl w:ilvl="3" w:tplc="228A6B74">
      <w:start w:val="1"/>
      <w:numFmt w:val="decimal"/>
      <w:lvlText w:val="%4."/>
      <w:lvlJc w:val="left"/>
      <w:pPr>
        <w:ind w:left="2880" w:hanging="360"/>
      </w:pPr>
    </w:lvl>
    <w:lvl w:ilvl="4" w:tplc="BEA43E98">
      <w:start w:val="1"/>
      <w:numFmt w:val="lowerLetter"/>
      <w:lvlText w:val="%5."/>
      <w:lvlJc w:val="left"/>
      <w:pPr>
        <w:ind w:left="3600" w:hanging="360"/>
      </w:pPr>
    </w:lvl>
    <w:lvl w:ilvl="5" w:tplc="9FD2D286">
      <w:start w:val="1"/>
      <w:numFmt w:val="lowerRoman"/>
      <w:lvlText w:val="%6."/>
      <w:lvlJc w:val="right"/>
      <w:pPr>
        <w:ind w:left="4320" w:hanging="180"/>
      </w:pPr>
    </w:lvl>
    <w:lvl w:ilvl="6" w:tplc="D7A808E2">
      <w:start w:val="1"/>
      <w:numFmt w:val="decimal"/>
      <w:lvlText w:val="%7."/>
      <w:lvlJc w:val="left"/>
      <w:pPr>
        <w:ind w:left="5040" w:hanging="360"/>
      </w:pPr>
    </w:lvl>
    <w:lvl w:ilvl="7" w:tplc="29FAC44A">
      <w:start w:val="1"/>
      <w:numFmt w:val="lowerLetter"/>
      <w:lvlText w:val="%8."/>
      <w:lvlJc w:val="left"/>
      <w:pPr>
        <w:ind w:left="5760" w:hanging="360"/>
      </w:pPr>
    </w:lvl>
    <w:lvl w:ilvl="8" w:tplc="D726540C">
      <w:start w:val="1"/>
      <w:numFmt w:val="lowerRoman"/>
      <w:lvlText w:val="%9."/>
      <w:lvlJc w:val="right"/>
      <w:pPr>
        <w:ind w:left="6480" w:hanging="180"/>
      </w:pPr>
    </w:lvl>
  </w:abstractNum>
  <w:abstractNum w:abstractNumId="3" w15:restartNumberingAfterBreak="0">
    <w:nsid w:val="61584914"/>
    <w:multiLevelType w:val="hybridMultilevel"/>
    <w:tmpl w:val="B0C60920"/>
    <w:lvl w:ilvl="0" w:tplc="868AF884">
      <w:start w:val="1"/>
      <w:numFmt w:val="bullet"/>
      <w:lvlText w:val=""/>
      <w:lvlJc w:val="left"/>
      <w:pPr>
        <w:ind w:left="720" w:hanging="360"/>
      </w:pPr>
      <w:rPr>
        <w:rFonts w:hint="default" w:ascii="Symbol" w:hAnsi="Symbol"/>
      </w:rPr>
    </w:lvl>
    <w:lvl w:ilvl="1" w:tplc="80165828">
      <w:start w:val="1"/>
      <w:numFmt w:val="bullet"/>
      <w:lvlText w:val="o"/>
      <w:lvlJc w:val="left"/>
      <w:pPr>
        <w:ind w:left="1440" w:hanging="360"/>
      </w:pPr>
      <w:rPr>
        <w:rFonts w:hint="default" w:ascii="Courier New" w:hAnsi="Courier New"/>
      </w:rPr>
    </w:lvl>
    <w:lvl w:ilvl="2" w:tplc="8A1E32B4">
      <w:start w:val="1"/>
      <w:numFmt w:val="bullet"/>
      <w:lvlText w:val=""/>
      <w:lvlJc w:val="left"/>
      <w:pPr>
        <w:ind w:left="2160" w:hanging="360"/>
      </w:pPr>
      <w:rPr>
        <w:rFonts w:hint="default" w:ascii="Wingdings" w:hAnsi="Wingdings"/>
      </w:rPr>
    </w:lvl>
    <w:lvl w:ilvl="3" w:tplc="B2DC1AB8">
      <w:start w:val="1"/>
      <w:numFmt w:val="bullet"/>
      <w:lvlText w:val=""/>
      <w:lvlJc w:val="left"/>
      <w:pPr>
        <w:ind w:left="2880" w:hanging="360"/>
      </w:pPr>
      <w:rPr>
        <w:rFonts w:hint="default" w:ascii="Symbol" w:hAnsi="Symbol"/>
      </w:rPr>
    </w:lvl>
    <w:lvl w:ilvl="4" w:tplc="8D928478">
      <w:start w:val="1"/>
      <w:numFmt w:val="bullet"/>
      <w:lvlText w:val="o"/>
      <w:lvlJc w:val="left"/>
      <w:pPr>
        <w:ind w:left="3600" w:hanging="360"/>
      </w:pPr>
      <w:rPr>
        <w:rFonts w:hint="default" w:ascii="Courier New" w:hAnsi="Courier New"/>
      </w:rPr>
    </w:lvl>
    <w:lvl w:ilvl="5" w:tplc="5A2E2A10">
      <w:start w:val="1"/>
      <w:numFmt w:val="bullet"/>
      <w:lvlText w:val=""/>
      <w:lvlJc w:val="left"/>
      <w:pPr>
        <w:ind w:left="4320" w:hanging="360"/>
      </w:pPr>
      <w:rPr>
        <w:rFonts w:hint="default" w:ascii="Wingdings" w:hAnsi="Wingdings"/>
      </w:rPr>
    </w:lvl>
    <w:lvl w:ilvl="6" w:tplc="FCDE881E">
      <w:start w:val="1"/>
      <w:numFmt w:val="bullet"/>
      <w:lvlText w:val=""/>
      <w:lvlJc w:val="left"/>
      <w:pPr>
        <w:ind w:left="5040" w:hanging="360"/>
      </w:pPr>
      <w:rPr>
        <w:rFonts w:hint="default" w:ascii="Symbol" w:hAnsi="Symbol"/>
      </w:rPr>
    </w:lvl>
    <w:lvl w:ilvl="7" w:tplc="77D80DF2">
      <w:start w:val="1"/>
      <w:numFmt w:val="bullet"/>
      <w:lvlText w:val="o"/>
      <w:lvlJc w:val="left"/>
      <w:pPr>
        <w:ind w:left="5760" w:hanging="360"/>
      </w:pPr>
      <w:rPr>
        <w:rFonts w:hint="default" w:ascii="Courier New" w:hAnsi="Courier New"/>
      </w:rPr>
    </w:lvl>
    <w:lvl w:ilvl="8" w:tplc="73284462">
      <w:start w:val="1"/>
      <w:numFmt w:val="bullet"/>
      <w:lvlText w:val=""/>
      <w:lvlJc w:val="left"/>
      <w:pPr>
        <w:ind w:left="6480" w:hanging="360"/>
      </w:pPr>
      <w:rPr>
        <w:rFonts w:hint="default" w:ascii="Wingdings" w:hAnsi="Wingdings"/>
      </w:rPr>
    </w:lvl>
  </w:abstractNum>
  <w:abstractNum w:abstractNumId="4" w15:restartNumberingAfterBreak="0">
    <w:nsid w:val="63161AF5"/>
    <w:multiLevelType w:val="hybridMultilevel"/>
    <w:tmpl w:val="B7CC8F78"/>
    <w:lvl w:ilvl="0" w:tplc="7E9A3854">
      <w:start w:val="1"/>
      <w:numFmt w:val="decimal"/>
      <w:lvlText w:val="%1."/>
      <w:lvlJc w:val="left"/>
      <w:pPr>
        <w:ind w:left="720" w:hanging="360"/>
      </w:pPr>
    </w:lvl>
    <w:lvl w:ilvl="1" w:tplc="47561BF6">
      <w:start w:val="1"/>
      <w:numFmt w:val="lowerLetter"/>
      <w:lvlText w:val="%2."/>
      <w:lvlJc w:val="left"/>
      <w:pPr>
        <w:ind w:left="1440" w:hanging="360"/>
      </w:pPr>
    </w:lvl>
    <w:lvl w:ilvl="2" w:tplc="F8989252">
      <w:start w:val="1"/>
      <w:numFmt w:val="lowerRoman"/>
      <w:lvlText w:val="%3."/>
      <w:lvlJc w:val="right"/>
      <w:pPr>
        <w:ind w:left="2160" w:hanging="180"/>
      </w:pPr>
    </w:lvl>
    <w:lvl w:ilvl="3" w:tplc="C5E43BDA">
      <w:start w:val="1"/>
      <w:numFmt w:val="decimal"/>
      <w:lvlText w:val="%4."/>
      <w:lvlJc w:val="left"/>
      <w:pPr>
        <w:ind w:left="2880" w:hanging="360"/>
      </w:pPr>
    </w:lvl>
    <w:lvl w:ilvl="4" w:tplc="8E1E9622">
      <w:start w:val="1"/>
      <w:numFmt w:val="lowerLetter"/>
      <w:lvlText w:val="%5."/>
      <w:lvlJc w:val="left"/>
      <w:pPr>
        <w:ind w:left="3600" w:hanging="360"/>
      </w:pPr>
    </w:lvl>
    <w:lvl w:ilvl="5" w:tplc="35B0E830">
      <w:start w:val="1"/>
      <w:numFmt w:val="lowerRoman"/>
      <w:lvlText w:val="%6."/>
      <w:lvlJc w:val="right"/>
      <w:pPr>
        <w:ind w:left="4320" w:hanging="180"/>
      </w:pPr>
    </w:lvl>
    <w:lvl w:ilvl="6" w:tplc="01A219BC">
      <w:start w:val="1"/>
      <w:numFmt w:val="decimal"/>
      <w:lvlText w:val="%7."/>
      <w:lvlJc w:val="left"/>
      <w:pPr>
        <w:ind w:left="5040" w:hanging="360"/>
      </w:pPr>
    </w:lvl>
    <w:lvl w:ilvl="7" w:tplc="8468E9A4">
      <w:start w:val="1"/>
      <w:numFmt w:val="lowerLetter"/>
      <w:lvlText w:val="%8."/>
      <w:lvlJc w:val="left"/>
      <w:pPr>
        <w:ind w:left="5760" w:hanging="360"/>
      </w:pPr>
    </w:lvl>
    <w:lvl w:ilvl="8" w:tplc="F99EC072">
      <w:start w:val="1"/>
      <w:numFmt w:val="lowerRoman"/>
      <w:lvlText w:val="%9."/>
      <w:lvlJc w:val="right"/>
      <w:pPr>
        <w:ind w:left="6480" w:hanging="180"/>
      </w:pPr>
    </w:lvl>
  </w:abstractNum>
  <w:abstractNum w:abstractNumId="5" w15:restartNumberingAfterBreak="0">
    <w:nsid w:val="684F7B26"/>
    <w:multiLevelType w:val="hybridMultilevel"/>
    <w:tmpl w:val="59F2152A"/>
    <w:lvl w:ilvl="0" w:tplc="51EC2D66">
      <w:start w:val="1"/>
      <w:numFmt w:val="decimal"/>
      <w:lvlText w:val="%1."/>
      <w:lvlJc w:val="left"/>
      <w:pPr>
        <w:ind w:left="720" w:hanging="360"/>
      </w:pPr>
    </w:lvl>
    <w:lvl w:ilvl="1" w:tplc="2E86549A">
      <w:start w:val="1"/>
      <w:numFmt w:val="lowerLetter"/>
      <w:lvlText w:val="%2."/>
      <w:lvlJc w:val="left"/>
      <w:pPr>
        <w:ind w:left="1440" w:hanging="360"/>
      </w:pPr>
    </w:lvl>
    <w:lvl w:ilvl="2" w:tplc="18C49858">
      <w:start w:val="1"/>
      <w:numFmt w:val="lowerRoman"/>
      <w:lvlText w:val="%3."/>
      <w:lvlJc w:val="right"/>
      <w:pPr>
        <w:ind w:left="2160" w:hanging="180"/>
      </w:pPr>
    </w:lvl>
    <w:lvl w:ilvl="3" w:tplc="07FC881E">
      <w:start w:val="1"/>
      <w:numFmt w:val="decimal"/>
      <w:lvlText w:val="%4."/>
      <w:lvlJc w:val="left"/>
      <w:pPr>
        <w:ind w:left="2880" w:hanging="360"/>
      </w:pPr>
    </w:lvl>
    <w:lvl w:ilvl="4" w:tplc="5D8AD8E2">
      <w:start w:val="1"/>
      <w:numFmt w:val="lowerLetter"/>
      <w:lvlText w:val="%5."/>
      <w:lvlJc w:val="left"/>
      <w:pPr>
        <w:ind w:left="3600" w:hanging="360"/>
      </w:pPr>
    </w:lvl>
    <w:lvl w:ilvl="5" w:tplc="03C60F10">
      <w:start w:val="1"/>
      <w:numFmt w:val="lowerRoman"/>
      <w:lvlText w:val="%6."/>
      <w:lvlJc w:val="right"/>
      <w:pPr>
        <w:ind w:left="4320" w:hanging="180"/>
      </w:pPr>
    </w:lvl>
    <w:lvl w:ilvl="6" w:tplc="52C49B1E">
      <w:start w:val="1"/>
      <w:numFmt w:val="decimal"/>
      <w:lvlText w:val="%7."/>
      <w:lvlJc w:val="left"/>
      <w:pPr>
        <w:ind w:left="5040" w:hanging="360"/>
      </w:pPr>
    </w:lvl>
    <w:lvl w:ilvl="7" w:tplc="3AAEB5B4">
      <w:start w:val="1"/>
      <w:numFmt w:val="lowerLetter"/>
      <w:lvlText w:val="%8."/>
      <w:lvlJc w:val="left"/>
      <w:pPr>
        <w:ind w:left="5760" w:hanging="360"/>
      </w:pPr>
    </w:lvl>
    <w:lvl w:ilvl="8" w:tplc="2BFE02CC">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GB" w:vendorID="64" w:dllVersion="6" w:nlCheck="1" w:checkStyle="0" w:appName="MSWord"/>
  <w:activeWritingStyle w:lang="en-US" w:vendorID="64" w:dllVersion="6" w:nlCheck="1" w:checkStyle="0" w:appName="MSWord"/>
  <w:activeWritingStyle w:lang="en-GB" w:vendorID="64" w:dllVersion="4096" w:nlCheck="1" w:checkStyle="0" w:appName="MSWord"/>
  <w:activeWritingStyle w:lang="en-US" w:vendorID="64" w:dllVersion="4096" w:nlCheck="1" w:checkStyle="0" w:appName="MSWord"/>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4878"/>
    <w:rsid w:val="000165C6"/>
    <w:rsid w:val="0002582D"/>
    <w:rsid w:val="0002592E"/>
    <w:rsid w:val="00026B69"/>
    <w:rsid w:val="000272BD"/>
    <w:rsid w:val="00040074"/>
    <w:rsid w:val="00042FC3"/>
    <w:rsid w:val="00046470"/>
    <w:rsid w:val="0005086D"/>
    <w:rsid w:val="00051FFD"/>
    <w:rsid w:val="000520EE"/>
    <w:rsid w:val="000555C4"/>
    <w:rsid w:val="00056350"/>
    <w:rsid w:val="00060519"/>
    <w:rsid w:val="0006335B"/>
    <w:rsid w:val="00067584"/>
    <w:rsid w:val="00077FBC"/>
    <w:rsid w:val="00080E6E"/>
    <w:rsid w:val="00081511"/>
    <w:rsid w:val="00081D37"/>
    <w:rsid w:val="0008206D"/>
    <w:rsid w:val="0008257A"/>
    <w:rsid w:val="00082B4A"/>
    <w:rsid w:val="00082D50"/>
    <w:rsid w:val="00091FB1"/>
    <w:rsid w:val="000926B7"/>
    <w:rsid w:val="000931B2"/>
    <w:rsid w:val="000A1C7D"/>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5AAF"/>
    <w:rsid w:val="001A69CE"/>
    <w:rsid w:val="001B5071"/>
    <w:rsid w:val="001B79F9"/>
    <w:rsid w:val="001C5CE8"/>
    <w:rsid w:val="001C673F"/>
    <w:rsid w:val="001C6774"/>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E3F"/>
    <w:rsid w:val="00375BB9"/>
    <w:rsid w:val="003761A1"/>
    <w:rsid w:val="0037779A"/>
    <w:rsid w:val="003812A5"/>
    <w:rsid w:val="003844B1"/>
    <w:rsid w:val="003852D3"/>
    <w:rsid w:val="00385AAC"/>
    <w:rsid w:val="0039019C"/>
    <w:rsid w:val="003A35A3"/>
    <w:rsid w:val="003B142E"/>
    <w:rsid w:val="003B591A"/>
    <w:rsid w:val="003B5EB1"/>
    <w:rsid w:val="003C42DB"/>
    <w:rsid w:val="003C7E0D"/>
    <w:rsid w:val="003D3945"/>
    <w:rsid w:val="003D5425"/>
    <w:rsid w:val="003D7274"/>
    <w:rsid w:val="003F0CDE"/>
    <w:rsid w:val="003F1899"/>
    <w:rsid w:val="003F32FF"/>
    <w:rsid w:val="003F7287"/>
    <w:rsid w:val="00405F1C"/>
    <w:rsid w:val="00405FE8"/>
    <w:rsid w:val="00406D01"/>
    <w:rsid w:val="00412841"/>
    <w:rsid w:val="00417AF9"/>
    <w:rsid w:val="00420B76"/>
    <w:rsid w:val="00420BEC"/>
    <w:rsid w:val="00426EB2"/>
    <w:rsid w:val="004323A8"/>
    <w:rsid w:val="0045283B"/>
    <w:rsid w:val="00454059"/>
    <w:rsid w:val="004568E8"/>
    <w:rsid w:val="00461E8C"/>
    <w:rsid w:val="0046226B"/>
    <w:rsid w:val="00471C0B"/>
    <w:rsid w:val="004720D7"/>
    <w:rsid w:val="0047254C"/>
    <w:rsid w:val="004752D2"/>
    <w:rsid w:val="00483CF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6B74"/>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6DEE"/>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343"/>
    <w:rsid w:val="006D33B9"/>
    <w:rsid w:val="006D4840"/>
    <w:rsid w:val="006D63EE"/>
    <w:rsid w:val="006D719E"/>
    <w:rsid w:val="006E45E9"/>
    <w:rsid w:val="006E4E1E"/>
    <w:rsid w:val="006E4E33"/>
    <w:rsid w:val="006E56EC"/>
    <w:rsid w:val="006E6C59"/>
    <w:rsid w:val="006F4B2F"/>
    <w:rsid w:val="007017F6"/>
    <w:rsid w:val="007131CD"/>
    <w:rsid w:val="00723DAB"/>
    <w:rsid w:val="00730770"/>
    <w:rsid w:val="00733313"/>
    <w:rsid w:val="00734FC5"/>
    <w:rsid w:val="0074146B"/>
    <w:rsid w:val="0074178B"/>
    <w:rsid w:val="00744589"/>
    <w:rsid w:val="00746A69"/>
    <w:rsid w:val="00753825"/>
    <w:rsid w:val="00754E66"/>
    <w:rsid w:val="00755445"/>
    <w:rsid w:val="0075771C"/>
    <w:rsid w:val="007612C6"/>
    <w:rsid w:val="00770F7C"/>
    <w:rsid w:val="0077510A"/>
    <w:rsid w:val="007771A7"/>
    <w:rsid w:val="00782CBF"/>
    <w:rsid w:val="007830FB"/>
    <w:rsid w:val="0079283C"/>
    <w:rsid w:val="00797390"/>
    <w:rsid w:val="007976A8"/>
    <w:rsid w:val="007A0ADA"/>
    <w:rsid w:val="007A1545"/>
    <w:rsid w:val="007A340A"/>
    <w:rsid w:val="007A54D9"/>
    <w:rsid w:val="007B4423"/>
    <w:rsid w:val="007B64A2"/>
    <w:rsid w:val="007C1271"/>
    <w:rsid w:val="007D2112"/>
    <w:rsid w:val="007D2E67"/>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348F"/>
    <w:rsid w:val="00824864"/>
    <w:rsid w:val="00826B46"/>
    <w:rsid w:val="00827BB1"/>
    <w:rsid w:val="008312AD"/>
    <w:rsid w:val="00834702"/>
    <w:rsid w:val="00834F17"/>
    <w:rsid w:val="0084066B"/>
    <w:rsid w:val="00843761"/>
    <w:rsid w:val="00845398"/>
    <w:rsid w:val="00847AF6"/>
    <w:rsid w:val="00854FBD"/>
    <w:rsid w:val="00855E2D"/>
    <w:rsid w:val="00865F09"/>
    <w:rsid w:val="008706D9"/>
    <w:rsid w:val="008719A8"/>
    <w:rsid w:val="00872374"/>
    <w:rsid w:val="0087373F"/>
    <w:rsid w:val="00873BFE"/>
    <w:rsid w:val="00875C08"/>
    <w:rsid w:val="00883F77"/>
    <w:rsid w:val="008900A8"/>
    <w:rsid w:val="008A7606"/>
    <w:rsid w:val="008B5948"/>
    <w:rsid w:val="008C350C"/>
    <w:rsid w:val="008C4765"/>
    <w:rsid w:val="008C6F1D"/>
    <w:rsid w:val="008C7038"/>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5B52"/>
    <w:rsid w:val="009821D7"/>
    <w:rsid w:val="009839A7"/>
    <w:rsid w:val="00985109"/>
    <w:rsid w:val="009852EC"/>
    <w:rsid w:val="00987B3D"/>
    <w:rsid w:val="009B3C8F"/>
    <w:rsid w:val="009B5B7E"/>
    <w:rsid w:val="009B5E58"/>
    <w:rsid w:val="009B662C"/>
    <w:rsid w:val="009B6F24"/>
    <w:rsid w:val="009C1D23"/>
    <w:rsid w:val="009C2174"/>
    <w:rsid w:val="009C547F"/>
    <w:rsid w:val="009D1077"/>
    <w:rsid w:val="009E13C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C1168"/>
    <w:rsid w:val="00AC4DF9"/>
    <w:rsid w:val="00AC7534"/>
    <w:rsid w:val="00AE3C3A"/>
    <w:rsid w:val="00AE7766"/>
    <w:rsid w:val="00AE7FA9"/>
    <w:rsid w:val="00B066B3"/>
    <w:rsid w:val="00B07E3A"/>
    <w:rsid w:val="00B113B8"/>
    <w:rsid w:val="00B1197F"/>
    <w:rsid w:val="00B13015"/>
    <w:rsid w:val="00B13FD0"/>
    <w:rsid w:val="00B16DD9"/>
    <w:rsid w:val="00B22236"/>
    <w:rsid w:val="00B22398"/>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6BE7"/>
    <w:rsid w:val="00B670E2"/>
    <w:rsid w:val="00B70C80"/>
    <w:rsid w:val="00B76299"/>
    <w:rsid w:val="00B84BCE"/>
    <w:rsid w:val="00BB2F44"/>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D0334A"/>
    <w:rsid w:val="00D10820"/>
    <w:rsid w:val="00D31C74"/>
    <w:rsid w:val="00D32809"/>
    <w:rsid w:val="00D3613F"/>
    <w:rsid w:val="00D36DE3"/>
    <w:rsid w:val="00D37A32"/>
    <w:rsid w:val="00D4024A"/>
    <w:rsid w:val="00D43504"/>
    <w:rsid w:val="00D43E7F"/>
    <w:rsid w:val="00D442D8"/>
    <w:rsid w:val="00D554D1"/>
    <w:rsid w:val="00D56213"/>
    <w:rsid w:val="00D70F13"/>
    <w:rsid w:val="00D75CC2"/>
    <w:rsid w:val="00D765A2"/>
    <w:rsid w:val="00D77908"/>
    <w:rsid w:val="00D829B0"/>
    <w:rsid w:val="00D86801"/>
    <w:rsid w:val="00D877F6"/>
    <w:rsid w:val="00D93A21"/>
    <w:rsid w:val="00DA098F"/>
    <w:rsid w:val="00DA3024"/>
    <w:rsid w:val="00DB41EA"/>
    <w:rsid w:val="00DB72EC"/>
    <w:rsid w:val="00DC0087"/>
    <w:rsid w:val="00DC7E8C"/>
    <w:rsid w:val="00DD05F2"/>
    <w:rsid w:val="00DD15D8"/>
    <w:rsid w:val="00DD24C5"/>
    <w:rsid w:val="00DD4630"/>
    <w:rsid w:val="00DE2FE5"/>
    <w:rsid w:val="00DF1BFF"/>
    <w:rsid w:val="00DF44A8"/>
    <w:rsid w:val="00DF45C9"/>
    <w:rsid w:val="00DF4C83"/>
    <w:rsid w:val="00DF4FF4"/>
    <w:rsid w:val="00DF6539"/>
    <w:rsid w:val="00DF794C"/>
    <w:rsid w:val="00E00E0B"/>
    <w:rsid w:val="00E0283F"/>
    <w:rsid w:val="00E0777C"/>
    <w:rsid w:val="00E07C29"/>
    <w:rsid w:val="00E102D6"/>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A3F56"/>
    <w:rsid w:val="00EA4525"/>
    <w:rsid w:val="00EA4C34"/>
    <w:rsid w:val="00EA5094"/>
    <w:rsid w:val="00EA7CBF"/>
    <w:rsid w:val="00EB21FD"/>
    <w:rsid w:val="00EB2FB6"/>
    <w:rsid w:val="00EB3B21"/>
    <w:rsid w:val="00EB7FA4"/>
    <w:rsid w:val="00EC0F9F"/>
    <w:rsid w:val="00EC5CA6"/>
    <w:rsid w:val="00EC7038"/>
    <w:rsid w:val="00ED288D"/>
    <w:rsid w:val="00EE1629"/>
    <w:rsid w:val="00EE19C3"/>
    <w:rsid w:val="00EE1BD6"/>
    <w:rsid w:val="00EF38F0"/>
    <w:rsid w:val="00EF38FB"/>
    <w:rsid w:val="00EF4295"/>
    <w:rsid w:val="00EF49E1"/>
    <w:rsid w:val="00F05D86"/>
    <w:rsid w:val="00F063E1"/>
    <w:rsid w:val="00F1040A"/>
    <w:rsid w:val="00F12FF4"/>
    <w:rsid w:val="00F14033"/>
    <w:rsid w:val="00F156A1"/>
    <w:rsid w:val="00F156A4"/>
    <w:rsid w:val="00F157D8"/>
    <w:rsid w:val="00F17CF5"/>
    <w:rsid w:val="00F20B6A"/>
    <w:rsid w:val="00F21B87"/>
    <w:rsid w:val="00F22A1B"/>
    <w:rsid w:val="00F2728D"/>
    <w:rsid w:val="00F27D43"/>
    <w:rsid w:val="00F348F3"/>
    <w:rsid w:val="00F366FE"/>
    <w:rsid w:val="00F4115C"/>
    <w:rsid w:val="00F432E0"/>
    <w:rsid w:val="00F44AE4"/>
    <w:rsid w:val="00F462B6"/>
    <w:rsid w:val="00F47814"/>
    <w:rsid w:val="00F50737"/>
    <w:rsid w:val="00F5293F"/>
    <w:rsid w:val="00F52A7B"/>
    <w:rsid w:val="00F532DE"/>
    <w:rsid w:val="00F53B3A"/>
    <w:rsid w:val="00F60954"/>
    <w:rsid w:val="00F61FFD"/>
    <w:rsid w:val="00F63E2B"/>
    <w:rsid w:val="00F74D66"/>
    <w:rsid w:val="00F773DE"/>
    <w:rsid w:val="00F8369B"/>
    <w:rsid w:val="00F9093D"/>
    <w:rsid w:val="00F915AB"/>
    <w:rsid w:val="00F91A2D"/>
    <w:rsid w:val="00FA2080"/>
    <w:rsid w:val="00FA2152"/>
    <w:rsid w:val="00FA7A72"/>
    <w:rsid w:val="00FB4451"/>
    <w:rsid w:val="00FB4D96"/>
    <w:rsid w:val="00FB50A4"/>
    <w:rsid w:val="00FC1818"/>
    <w:rsid w:val="00FC26AC"/>
    <w:rsid w:val="00FC6600"/>
    <w:rsid w:val="00FC6F07"/>
    <w:rsid w:val="00FC7098"/>
    <w:rsid w:val="00FC7E4B"/>
    <w:rsid w:val="00FD08CF"/>
    <w:rsid w:val="00FD10A4"/>
    <w:rsid w:val="00FD521D"/>
    <w:rsid w:val="00FE2CE9"/>
    <w:rsid w:val="00FE43C9"/>
    <w:rsid w:val="00FE4A5E"/>
    <w:rsid w:val="00FE7B80"/>
    <w:rsid w:val="00FF07BE"/>
    <w:rsid w:val="00FF0A8A"/>
    <w:rsid w:val="00FF0D64"/>
    <w:rsid w:val="00FF1CA0"/>
    <w:rsid w:val="00FF315F"/>
    <w:rsid w:val="0A0630D4"/>
    <w:rsid w:val="15E5B87A"/>
    <w:rsid w:val="21289570"/>
    <w:rsid w:val="28B4CB1A"/>
    <w:rsid w:val="2E70CAC8"/>
    <w:rsid w:val="37E820C9"/>
    <w:rsid w:val="38AF41AC"/>
    <w:rsid w:val="40484343"/>
    <w:rsid w:val="47D907A2"/>
    <w:rsid w:val="4BADDCFA"/>
    <w:rsid w:val="6137F3EE"/>
    <w:rsid w:val="697A1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styleId="HeaderChar" w:customStyle="1">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styleId="FooterChar" w:customStyle="1">
    <w:name w:val="Footer Char"/>
    <w:basedOn w:val="DefaultParagraphFont"/>
    <w:link w:val="Footer"/>
    <w:uiPriority w:val="99"/>
    <w:rsid w:val="00163A4A"/>
  </w:style>
  <w:style w:type="character" w:styleId="Heading1Char" w:customStyle="1">
    <w:name w:val="Heading 1 Char"/>
    <w:basedOn w:val="DefaultParagraphFont"/>
    <w:link w:val="Heading1"/>
    <w:uiPriority w:val="9"/>
    <w:rsid w:val="00163A4A"/>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163A4A"/>
    <w:rPr>
      <w:rFonts w:asciiTheme="majorHAnsi" w:hAnsiTheme="majorHAnsi" w:eastAsiaTheme="majorEastAsia"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styleId="Heading3Char" w:customStyle="1">
    <w:name w:val="Heading 3 Char"/>
    <w:basedOn w:val="DefaultParagraphFont"/>
    <w:link w:val="Heading3"/>
    <w:uiPriority w:val="9"/>
    <w:rsid w:val="00EC0F9F"/>
    <w:rPr>
      <w:rFonts w:asciiTheme="majorHAnsi" w:hAnsiTheme="majorHAnsi" w:eastAsiaTheme="majorEastAsia" w:cstheme="majorBidi"/>
      <w:color w:val="1F4D78" w:themeColor="accent1" w:themeShade="7F"/>
    </w:rPr>
  </w:style>
  <w:style w:type="table" w:styleId="TableGrid">
    <w:name w:val="Table Grid"/>
    <w:basedOn w:val="TableNormal"/>
    <w:uiPriority w:val="39"/>
    <w:rsid w:val="00EC0F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styleId="Heading4Char" w:customStyle="1">
    <w:name w:val="Heading 4 Char"/>
    <w:basedOn w:val="DefaultParagraphFont"/>
    <w:link w:val="Heading4"/>
    <w:uiPriority w:val="9"/>
    <w:rsid w:val="00547CC7"/>
    <w:rPr>
      <w:rFonts w:asciiTheme="majorHAnsi" w:hAnsiTheme="majorHAnsi" w:eastAsiaTheme="majorEastAsia"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table" w:styleId="GridTable1Light-Accent1">
    <w:name w:val="Grid Table 1 Light Accent 1"/>
    <w:basedOn w:val="TableNormal"/>
    <w:uiPriority w:val="46"/>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d6609e3d26364c8a" /></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c0d68c-2f75-4212-a27e-62de5022d109}"/>
      </w:docPartPr>
      <w:docPartBody>
        <w:p w14:paraId="57EB6A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1D69-DEE7-4C71-B95D-7C6BDC7C07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Cane</dc:creator>
  <keywords/>
  <dc:description/>
  <lastModifiedBy>Claire Adams</lastModifiedBy>
  <revision>7</revision>
  <lastPrinted>2016-01-15T10:22:00.0000000Z</lastPrinted>
  <dcterms:created xsi:type="dcterms:W3CDTF">2018-06-13T13:24:00.0000000Z</dcterms:created>
  <dcterms:modified xsi:type="dcterms:W3CDTF">2018-06-15T10:56:56.3474548Z</dcterms:modified>
</coreProperties>
</file>